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9A9" w:rsidRPr="000D5D36" w:rsidRDefault="003D29A9" w:rsidP="003D29A9">
      <w:pPr>
        <w:pStyle w:val="Heading4"/>
        <w:pBdr>
          <w:top w:val="single" w:sz="4" w:space="1" w:color="auto"/>
          <w:left w:val="single" w:sz="4" w:space="0" w:color="auto"/>
          <w:bottom w:val="single" w:sz="4" w:space="1" w:color="auto"/>
          <w:right w:val="single" w:sz="4" w:space="1" w:color="auto"/>
        </w:pBdr>
        <w:ind w:left="1701" w:right="1534"/>
        <w:jc w:val="center"/>
        <w:rPr>
          <w:rFonts w:ascii="Arial Narrow" w:hAnsi="Arial Narrow"/>
          <w:color w:val="FFFFFF"/>
          <w:sz w:val="28"/>
          <w:szCs w:val="28"/>
        </w:rPr>
      </w:pPr>
      <w:r w:rsidRPr="000D5D36">
        <w:rPr>
          <w:rFonts w:ascii="Arial Narrow" w:hAnsi="Arial Narrow"/>
          <w:b w:val="0"/>
          <w:noProof/>
          <w:sz w:val="28"/>
          <w:szCs w:val="28"/>
        </w:rPr>
        <mc:AlternateContent>
          <mc:Choice Requires="wps">
            <w:drawing>
              <wp:anchor distT="0" distB="0" distL="114300" distR="114300" simplePos="0" relativeHeight="251659264" behindDoc="1" locked="0" layoutInCell="1" allowOverlap="1" wp14:anchorId="40C21434" wp14:editId="708DF743">
                <wp:simplePos x="0" y="0"/>
                <wp:positionH relativeFrom="margin">
                  <wp:posOffset>-104775</wp:posOffset>
                </wp:positionH>
                <wp:positionV relativeFrom="paragraph">
                  <wp:posOffset>-152400</wp:posOffset>
                </wp:positionV>
                <wp:extent cx="6162675" cy="10344150"/>
                <wp:effectExtent l="38100" t="38100" r="47625" b="3810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10344150"/>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4C069" id="Rectangle 3" o:spid="_x0000_s1026" style="position:absolute;margin-left:-8.25pt;margin-top:-12pt;width:485.25pt;height:81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" strokeweight="6pt">
                <v:stroke linestyle="thickBetweenThin"/>
                <w10:wrap anchorx="margin"/>
              </v:rect>
            </w:pict>
          </mc:Fallback>
        </mc:AlternateContent>
      </w:r>
      <w:r w:rsidRPr="000D5D36">
        <w:rPr>
          <w:rFonts w:ascii="Arial Narrow" w:hAnsi="Arial Narrow"/>
          <w:color w:val="FFFFFF"/>
          <w:sz w:val="28"/>
          <w:szCs w:val="28"/>
          <w:highlight w:val="black"/>
        </w:rPr>
        <w:t xml:space="preserve">INVITATION FOR SUBMISSION OF EXPRESSION OF INTEREST </w:t>
      </w:r>
    </w:p>
    <w:p w:rsidR="003D29A9" w:rsidRPr="00AB4ACD" w:rsidRDefault="003D29A9" w:rsidP="003D29A9">
      <w:pPr>
        <w:jc w:val="center"/>
        <w:rPr>
          <w:rFonts w:ascii="Arial Narrow" w:hAnsi="Arial Narrow" w:cs="Arial"/>
          <w:b/>
          <w:sz w:val="20"/>
          <w:u w:val="single"/>
        </w:rPr>
      </w:pPr>
      <w:r w:rsidRPr="00AB4ACD">
        <w:rPr>
          <w:rFonts w:ascii="Arial Narrow" w:hAnsi="Arial Narrow" w:cs="Arial"/>
          <w:b/>
          <w:sz w:val="20"/>
          <w:u w:val="single"/>
        </w:rPr>
        <w:t xml:space="preserve">Loan 59319-001-PAK: </w:t>
      </w:r>
      <w:bookmarkStart w:id="0" w:name="_Hlk209908480"/>
      <w:r w:rsidRPr="00AB4ACD">
        <w:rPr>
          <w:rFonts w:ascii="Arial Narrow" w:hAnsi="Arial Narrow" w:cs="Arial"/>
          <w:b/>
          <w:sz w:val="20"/>
          <w:u w:val="single"/>
        </w:rPr>
        <w:t>Preparing Sustainable Bus Rapid Transit Network Quetta –Project Readiness Financing</w:t>
      </w:r>
      <w:bookmarkEnd w:id="0"/>
    </w:p>
    <w:p w:rsidR="003D29A9" w:rsidRPr="000D5D36" w:rsidRDefault="003D29A9" w:rsidP="003D29A9">
      <w:pPr>
        <w:jc w:val="center"/>
        <w:rPr>
          <w:rFonts w:ascii="Arial Narrow" w:hAnsi="Arial Narrow" w:cs="Arial"/>
          <w:b/>
          <w:szCs w:val="22"/>
        </w:rPr>
      </w:pPr>
      <w:r w:rsidRPr="000D5D36">
        <w:rPr>
          <w:rFonts w:ascii="Arial Narrow" w:hAnsi="Arial Narrow" w:cs="Arial"/>
          <w:b/>
          <w:szCs w:val="22"/>
        </w:rPr>
        <w:t>Recruitment of CS-01: Feasibility Study, Detailed Engineering Design and Procurement Support for Sustainable Bus Rapid Transit (BRT) Network Quetta, Balochistan</w:t>
      </w:r>
    </w:p>
    <w:p w:rsidR="003D29A9" w:rsidRPr="00AB4ACD" w:rsidRDefault="003D29A9" w:rsidP="003D29A9">
      <w:pPr>
        <w:jc w:val="center"/>
        <w:rPr>
          <w:rFonts w:ascii="Arial Narrow" w:hAnsi="Arial Narrow" w:cs="Arial"/>
          <w:b/>
          <w:sz w:val="18"/>
          <w:szCs w:val="18"/>
        </w:rPr>
      </w:pPr>
      <w:r w:rsidRPr="00AB4ACD">
        <w:rPr>
          <w:rFonts w:ascii="Arial Narrow" w:hAnsi="Arial Narrow" w:cs="Arial"/>
          <w:b/>
          <w:sz w:val="18"/>
          <w:szCs w:val="18"/>
        </w:rPr>
        <w:t>Executing Agency: Transport Department, Government of Balochistan</w:t>
      </w:r>
    </w:p>
    <w:p w:rsidR="003D29A9" w:rsidRPr="00AB4ACD" w:rsidRDefault="003D29A9" w:rsidP="003D29A9">
      <w:pPr>
        <w:jc w:val="center"/>
        <w:rPr>
          <w:rFonts w:ascii="Arial Narrow" w:hAnsi="Arial Narrow" w:cs="Arial"/>
          <w:b/>
          <w:sz w:val="18"/>
          <w:szCs w:val="18"/>
        </w:rPr>
      </w:pPr>
      <w:r w:rsidRPr="00AB4ACD">
        <w:rPr>
          <w:rFonts w:ascii="Arial Narrow" w:hAnsi="Arial Narrow" w:cs="Arial"/>
          <w:b/>
          <w:sz w:val="18"/>
          <w:szCs w:val="18"/>
        </w:rPr>
        <w:t>Implementing Agency: Balochistan Traffic Engineering Bureau (BTEB)</w:t>
      </w:r>
    </w:p>
    <w:p w:rsidR="003D29A9" w:rsidRPr="00410955" w:rsidRDefault="003D29A9" w:rsidP="003D29A9">
      <w:pPr>
        <w:jc w:val="both"/>
        <w:rPr>
          <w:rFonts w:ascii="Arial Narrow" w:hAnsi="Arial Narrow" w:cs="Arial"/>
          <w:b/>
          <w:color w:val="000000" w:themeColor="text1"/>
          <w:sz w:val="19"/>
          <w:szCs w:val="19"/>
        </w:rPr>
      </w:pPr>
      <w:r w:rsidRPr="000D5D36">
        <w:rPr>
          <w:rFonts w:ascii="Arial Narrow" w:hAnsi="Arial Narrow" w:cs="Arial"/>
          <w:b/>
          <w:color w:val="000000" w:themeColor="text1"/>
          <w:sz w:val="19"/>
          <w:szCs w:val="19"/>
        </w:rPr>
        <w:t xml:space="preserve">Objective </w:t>
      </w:r>
      <w:r w:rsidRPr="00410955">
        <w:rPr>
          <w:rFonts w:ascii="Arial Narrow" w:hAnsi="Arial Narrow" w:cs="Arial"/>
          <w:b/>
          <w:color w:val="000000" w:themeColor="text1"/>
          <w:sz w:val="19"/>
          <w:szCs w:val="19"/>
        </w:rPr>
        <w:t>and Scope:</w:t>
      </w:r>
    </w:p>
    <w:p w:rsidR="003D29A9" w:rsidRPr="001127AA" w:rsidRDefault="003D29A9" w:rsidP="003D29A9">
      <w:pPr>
        <w:keepNext/>
        <w:widowControl w:val="0"/>
        <w:numPr>
          <w:ilvl w:val="0"/>
          <w:numId w:val="1"/>
        </w:numPr>
        <w:shd w:val="clear" w:color="auto" w:fill="FFFFFF"/>
        <w:tabs>
          <w:tab w:val="center" w:pos="0"/>
        </w:tabs>
        <w:autoSpaceDE w:val="0"/>
        <w:autoSpaceDN w:val="0"/>
        <w:adjustRightInd w:val="0"/>
        <w:ind w:left="0" w:right="43"/>
        <w:contextualSpacing/>
        <w:jc w:val="both"/>
        <w:outlineLvl w:val="0"/>
        <w:rPr>
          <w:rFonts w:ascii="Arial Narrow" w:hAnsi="Arial Narrow" w:cs="Segoe UI"/>
          <w:sz w:val="19"/>
          <w:szCs w:val="19"/>
        </w:rPr>
      </w:pPr>
      <w:r w:rsidRPr="00410955">
        <w:rPr>
          <w:rFonts w:ascii="Arial Narrow" w:hAnsi="Arial Narrow" w:cs="Arial"/>
          <w:iCs/>
          <w:sz w:val="19"/>
          <w:szCs w:val="19"/>
        </w:rPr>
        <w:t>Preparing Sustainable Bus Rapid Transit Network Quetta –Project Readiness Financing</w:t>
      </w:r>
      <w:r w:rsidRPr="00410955">
        <w:rPr>
          <w:rFonts w:ascii="Arial Narrow" w:hAnsi="Arial Narrow" w:cs="Segoe UI"/>
          <w:sz w:val="19"/>
          <w:szCs w:val="19"/>
        </w:rPr>
        <w:t xml:space="preserve"> will finance preparation of feasibility study and detailed engineering design to ensure timely readiness of ensuing Quetta sustainable BRT network project. </w:t>
      </w:r>
    </w:p>
    <w:p w:rsidR="003D29A9" w:rsidRPr="00AB4ACD" w:rsidRDefault="003D29A9" w:rsidP="003D29A9">
      <w:pPr>
        <w:keepNext/>
        <w:widowControl w:val="0"/>
        <w:numPr>
          <w:ilvl w:val="0"/>
          <w:numId w:val="1"/>
        </w:numPr>
        <w:tabs>
          <w:tab w:val="center" w:pos="0"/>
        </w:tabs>
        <w:autoSpaceDE w:val="0"/>
        <w:autoSpaceDN w:val="0"/>
        <w:adjustRightInd w:val="0"/>
        <w:ind w:left="0" w:right="43"/>
        <w:contextualSpacing/>
        <w:jc w:val="both"/>
        <w:outlineLvl w:val="0"/>
        <w:rPr>
          <w:rFonts w:ascii="Arial Narrow" w:hAnsi="Arial Narrow" w:cs="Arial"/>
          <w:b/>
          <w:sz w:val="19"/>
          <w:szCs w:val="19"/>
        </w:rPr>
      </w:pPr>
      <w:r w:rsidRPr="00410955">
        <w:rPr>
          <w:rFonts w:ascii="Arial Narrow" w:hAnsi="Arial Narrow" w:cs="Segoe UI"/>
          <w:sz w:val="19"/>
          <w:szCs w:val="19"/>
        </w:rPr>
        <w:t xml:space="preserve">The </w:t>
      </w:r>
      <w:bookmarkStart w:id="1" w:name="_Hlk209909501"/>
      <w:r w:rsidRPr="00410955">
        <w:rPr>
          <w:rFonts w:ascii="Arial Narrow" w:hAnsi="Arial Narrow" w:cs="Segoe UI"/>
          <w:sz w:val="19"/>
          <w:szCs w:val="19"/>
        </w:rPr>
        <w:t>Consultancy Services are required for feasibility study, detailed engineering design and procurement support for sustainable Bus Rapid Transit (BRT) Network Quetta, Balochistan</w:t>
      </w:r>
      <w:bookmarkEnd w:id="1"/>
      <w:r w:rsidRPr="00410955">
        <w:rPr>
          <w:rFonts w:ascii="Arial Narrow" w:hAnsi="Arial Narrow" w:cs="Segoe UI"/>
          <w:sz w:val="19"/>
          <w:szCs w:val="19"/>
        </w:rPr>
        <w:t>, for delivering the outputs as well as the details mentioned in the TORs. The consulting firm will undertake three stages of work</w:t>
      </w:r>
      <w:r>
        <w:rPr>
          <w:rFonts w:ascii="Arial Narrow" w:hAnsi="Arial Narrow" w:cs="Segoe UI"/>
          <w:sz w:val="19"/>
          <w:szCs w:val="19"/>
        </w:rPr>
        <w:t>:</w:t>
      </w:r>
    </w:p>
    <w:p w:rsidR="003D29A9" w:rsidRDefault="003D29A9" w:rsidP="003D29A9">
      <w:pPr>
        <w:keepNext/>
        <w:widowControl w:val="0"/>
        <w:tabs>
          <w:tab w:val="center" w:pos="0"/>
        </w:tabs>
        <w:autoSpaceDE w:val="0"/>
        <w:autoSpaceDN w:val="0"/>
        <w:adjustRightInd w:val="0"/>
        <w:ind w:right="43"/>
        <w:contextualSpacing/>
        <w:jc w:val="both"/>
        <w:outlineLvl w:val="0"/>
        <w:rPr>
          <w:rFonts w:ascii="Arial Narrow" w:hAnsi="Arial Narrow" w:cs="Segoe UI"/>
          <w:sz w:val="19"/>
          <w:szCs w:val="19"/>
        </w:rPr>
      </w:pPr>
      <w:r>
        <w:rPr>
          <w:rFonts w:ascii="Arial Narrow" w:hAnsi="Arial Narrow" w:cs="Segoe UI"/>
          <w:sz w:val="19"/>
          <w:szCs w:val="19"/>
        </w:rPr>
        <w:tab/>
      </w:r>
      <w:r w:rsidRPr="00410955">
        <w:rPr>
          <w:rFonts w:ascii="Arial Narrow" w:hAnsi="Arial Narrow" w:cs="Segoe UI"/>
          <w:b/>
          <w:bCs/>
          <w:sz w:val="19"/>
          <w:szCs w:val="19"/>
        </w:rPr>
        <w:t>Stage 1: Detailed Feasibility Study Report for Quetta BRT</w:t>
      </w:r>
      <w:r w:rsidRPr="00410955">
        <w:rPr>
          <w:rFonts w:ascii="Arial Narrow" w:hAnsi="Arial Narrow" w:cs="Segoe UI"/>
          <w:sz w:val="19"/>
          <w:szCs w:val="19"/>
        </w:rPr>
        <w:t xml:space="preserve"> </w:t>
      </w:r>
    </w:p>
    <w:p w:rsidR="003D29A9" w:rsidRDefault="003D29A9" w:rsidP="003D29A9">
      <w:pPr>
        <w:keepNext/>
        <w:widowControl w:val="0"/>
        <w:tabs>
          <w:tab w:val="center" w:pos="0"/>
        </w:tabs>
        <w:autoSpaceDE w:val="0"/>
        <w:autoSpaceDN w:val="0"/>
        <w:adjustRightInd w:val="0"/>
        <w:ind w:left="720" w:right="43"/>
        <w:jc w:val="both"/>
        <w:outlineLvl w:val="0"/>
        <w:rPr>
          <w:rFonts w:ascii="Arial Narrow" w:hAnsi="Arial Narrow" w:cs="Segoe UI"/>
          <w:sz w:val="19"/>
          <w:szCs w:val="19"/>
        </w:rPr>
      </w:pPr>
      <w:r w:rsidRPr="002A2C2A">
        <w:rPr>
          <w:rFonts w:ascii="Arial Narrow" w:hAnsi="Arial Narrow" w:cs="Segoe UI"/>
          <w:sz w:val="19"/>
          <w:szCs w:val="19"/>
        </w:rPr>
        <w:t>-</w:t>
      </w:r>
      <w:r>
        <w:rPr>
          <w:rFonts w:ascii="Arial Narrow" w:hAnsi="Arial Narrow" w:cs="Segoe UI"/>
          <w:sz w:val="19"/>
          <w:szCs w:val="19"/>
        </w:rPr>
        <w:t xml:space="preserve"> </w:t>
      </w:r>
      <w:r w:rsidRPr="005A589F">
        <w:rPr>
          <w:rFonts w:ascii="Arial Narrow" w:hAnsi="Arial Narrow" w:cs="Segoe UI"/>
          <w:sz w:val="19"/>
          <w:szCs w:val="19"/>
        </w:rPr>
        <w:t>data collection and detailed assessment, development of a travel demand forecasting model, preparation of a long-term mass transit network study</w:t>
      </w:r>
      <w:r>
        <w:rPr>
          <w:rFonts w:ascii="Arial Narrow" w:eastAsiaTheme="minorEastAsia" w:hAnsi="Arial Narrow" w:cs="Segoe UI" w:hint="eastAsia"/>
          <w:sz w:val="19"/>
          <w:szCs w:val="19"/>
          <w:lang w:eastAsia="ko-KR"/>
        </w:rPr>
        <w:t xml:space="preserve"> (including analysis on alternatives such as bus-based public transport, railway-based system, </w:t>
      </w:r>
      <w:proofErr w:type="spellStart"/>
      <w:r>
        <w:rPr>
          <w:rFonts w:ascii="Arial Narrow" w:eastAsiaTheme="minorEastAsia" w:hAnsi="Arial Narrow" w:cs="Segoe UI" w:hint="eastAsia"/>
          <w:sz w:val="19"/>
          <w:szCs w:val="19"/>
          <w:lang w:eastAsia="ko-KR"/>
        </w:rPr>
        <w:t>etc</w:t>
      </w:r>
      <w:proofErr w:type="spellEnd"/>
      <w:r>
        <w:rPr>
          <w:rFonts w:ascii="Arial Narrow" w:eastAsiaTheme="minorEastAsia" w:hAnsi="Arial Narrow" w:cs="Segoe UI" w:hint="eastAsia"/>
          <w:sz w:val="19"/>
          <w:szCs w:val="19"/>
          <w:lang w:eastAsia="ko-KR"/>
        </w:rPr>
        <w:t>)</w:t>
      </w:r>
      <w:r w:rsidRPr="005A589F">
        <w:rPr>
          <w:rFonts w:ascii="Arial Narrow" w:hAnsi="Arial Narrow" w:cs="Segoe UI"/>
          <w:sz w:val="19"/>
          <w:szCs w:val="19"/>
        </w:rPr>
        <w:t xml:space="preserve">, bus technology assessment, intelligent transport system (ITS) planning, and automated fare collection system (AFC) design, together with the formulation of design standards. </w:t>
      </w:r>
    </w:p>
    <w:p w:rsidR="003D29A9" w:rsidRDefault="003D29A9" w:rsidP="003D29A9">
      <w:pPr>
        <w:keepNext/>
        <w:widowControl w:val="0"/>
        <w:tabs>
          <w:tab w:val="center" w:pos="0"/>
        </w:tabs>
        <w:autoSpaceDE w:val="0"/>
        <w:autoSpaceDN w:val="0"/>
        <w:adjustRightInd w:val="0"/>
        <w:ind w:left="720" w:right="43"/>
        <w:jc w:val="both"/>
        <w:outlineLvl w:val="0"/>
        <w:rPr>
          <w:rFonts w:ascii="Arial Narrow" w:hAnsi="Arial Narrow" w:cs="Segoe UI"/>
          <w:sz w:val="19"/>
          <w:szCs w:val="19"/>
        </w:rPr>
      </w:pPr>
      <w:r>
        <w:rPr>
          <w:rFonts w:ascii="Arial Narrow" w:hAnsi="Arial Narrow" w:cs="Segoe UI"/>
          <w:sz w:val="19"/>
          <w:szCs w:val="19"/>
        </w:rPr>
        <w:t xml:space="preserve">- </w:t>
      </w:r>
      <w:r w:rsidRPr="005A589F">
        <w:rPr>
          <w:rFonts w:ascii="Arial Narrow" w:hAnsi="Arial Narrow" w:cs="Segoe UI"/>
          <w:sz w:val="19"/>
          <w:szCs w:val="19"/>
        </w:rPr>
        <w:t xml:space="preserve">preparation of a preliminary design and operational design, development of a preliminary project bill of quantity and cost estimate, preparation of a business model, and design of the fare structure and potential non-fare revenues. </w:t>
      </w:r>
    </w:p>
    <w:p w:rsidR="003D29A9" w:rsidRPr="00035C48" w:rsidRDefault="003D29A9" w:rsidP="003D29A9">
      <w:pPr>
        <w:keepNext/>
        <w:widowControl w:val="0"/>
        <w:tabs>
          <w:tab w:val="center" w:pos="0"/>
        </w:tabs>
        <w:autoSpaceDE w:val="0"/>
        <w:autoSpaceDN w:val="0"/>
        <w:adjustRightInd w:val="0"/>
        <w:ind w:left="720" w:right="43"/>
        <w:jc w:val="both"/>
        <w:outlineLvl w:val="0"/>
        <w:rPr>
          <w:rFonts w:ascii="Arial Narrow" w:eastAsiaTheme="minorEastAsia" w:hAnsi="Arial Narrow" w:cs="Segoe UI"/>
          <w:sz w:val="19"/>
          <w:szCs w:val="19"/>
          <w:lang w:eastAsia="ko-KR"/>
        </w:rPr>
      </w:pPr>
      <w:r>
        <w:rPr>
          <w:rFonts w:ascii="Arial Narrow" w:hAnsi="Arial Narrow" w:cs="Segoe UI"/>
          <w:sz w:val="19"/>
          <w:szCs w:val="19"/>
        </w:rPr>
        <w:t>- review of</w:t>
      </w:r>
      <w:r>
        <w:rPr>
          <w:rFonts w:ascii="Arial Narrow" w:eastAsiaTheme="minorEastAsia" w:hAnsi="Arial Narrow" w:cs="Segoe UI" w:hint="eastAsia"/>
          <w:sz w:val="19"/>
          <w:szCs w:val="19"/>
          <w:lang w:eastAsia="ko-KR"/>
        </w:rPr>
        <w:t xml:space="preserve"> </w:t>
      </w:r>
      <w:r w:rsidRPr="005A589F">
        <w:rPr>
          <w:rFonts w:ascii="Arial Narrow" w:hAnsi="Arial Narrow" w:cs="Segoe UI"/>
          <w:sz w:val="19"/>
          <w:szCs w:val="19"/>
        </w:rPr>
        <w:t xml:space="preserve">institutional arrangements </w:t>
      </w:r>
    </w:p>
    <w:p w:rsidR="003D29A9" w:rsidRDefault="003D29A9" w:rsidP="003D29A9">
      <w:pPr>
        <w:keepNext/>
        <w:widowControl w:val="0"/>
        <w:tabs>
          <w:tab w:val="center" w:pos="0"/>
        </w:tabs>
        <w:autoSpaceDE w:val="0"/>
        <w:autoSpaceDN w:val="0"/>
        <w:adjustRightInd w:val="0"/>
        <w:ind w:left="720" w:right="43"/>
        <w:jc w:val="both"/>
        <w:outlineLvl w:val="0"/>
        <w:rPr>
          <w:rFonts w:ascii="Arial Narrow" w:hAnsi="Arial Narrow" w:cs="Segoe UI"/>
          <w:sz w:val="19"/>
          <w:szCs w:val="19"/>
        </w:rPr>
      </w:pPr>
      <w:r w:rsidRPr="005A589F">
        <w:rPr>
          <w:rFonts w:ascii="Arial Narrow" w:hAnsi="Arial Narrow" w:cs="Segoe UI"/>
          <w:b/>
          <w:bCs/>
          <w:sz w:val="19"/>
          <w:szCs w:val="19"/>
        </w:rPr>
        <w:t>Stage 2: Preparation of the Engineering Design Package</w:t>
      </w:r>
      <w:r w:rsidRPr="005A589F">
        <w:rPr>
          <w:rFonts w:ascii="Arial Narrow" w:hAnsi="Arial Narrow" w:cs="Segoe UI"/>
          <w:sz w:val="19"/>
          <w:szCs w:val="19"/>
        </w:rPr>
        <w:t xml:space="preserve"> </w:t>
      </w:r>
    </w:p>
    <w:p w:rsidR="003D29A9" w:rsidRDefault="003D29A9" w:rsidP="003D29A9">
      <w:pPr>
        <w:keepNext/>
        <w:widowControl w:val="0"/>
        <w:tabs>
          <w:tab w:val="center" w:pos="0"/>
        </w:tabs>
        <w:autoSpaceDE w:val="0"/>
        <w:autoSpaceDN w:val="0"/>
        <w:adjustRightInd w:val="0"/>
        <w:ind w:left="720" w:right="43"/>
        <w:jc w:val="both"/>
        <w:outlineLvl w:val="0"/>
        <w:rPr>
          <w:rFonts w:ascii="Arial Narrow" w:hAnsi="Arial Narrow" w:cs="Segoe UI"/>
          <w:sz w:val="19"/>
          <w:szCs w:val="19"/>
        </w:rPr>
      </w:pPr>
      <w:r w:rsidRPr="002A2C2A">
        <w:rPr>
          <w:rFonts w:ascii="Arial Narrow" w:hAnsi="Arial Narrow" w:cs="Segoe UI"/>
          <w:sz w:val="19"/>
          <w:szCs w:val="19"/>
        </w:rPr>
        <w:t>-</w:t>
      </w:r>
      <w:r>
        <w:rPr>
          <w:rFonts w:ascii="Arial Narrow" w:hAnsi="Arial Narrow" w:cs="Segoe UI"/>
          <w:sz w:val="19"/>
          <w:szCs w:val="19"/>
        </w:rPr>
        <w:t xml:space="preserve"> </w:t>
      </w:r>
      <w:r w:rsidRPr="005A589F">
        <w:rPr>
          <w:rFonts w:ascii="Arial Narrow" w:hAnsi="Arial Narrow" w:cs="Segoe UI"/>
          <w:sz w:val="19"/>
          <w:szCs w:val="19"/>
        </w:rPr>
        <w:t xml:space="preserve">busway and mixed-traffic roadway design including non-motorized transport (NMT), preparation of detailed engineering and architectural designs of BRT stations, bus depots and related facilities, integration of solar photovoltaic systems in depots, improvements on direct service roads, and urban design improvements for non-motorized traffic. </w:t>
      </w:r>
    </w:p>
    <w:p w:rsidR="003D29A9" w:rsidRPr="00035C48" w:rsidRDefault="003D29A9" w:rsidP="003D29A9">
      <w:pPr>
        <w:keepNext/>
        <w:widowControl w:val="0"/>
        <w:tabs>
          <w:tab w:val="center" w:pos="0"/>
        </w:tabs>
        <w:autoSpaceDE w:val="0"/>
        <w:autoSpaceDN w:val="0"/>
        <w:adjustRightInd w:val="0"/>
        <w:ind w:left="720" w:right="43"/>
        <w:jc w:val="both"/>
        <w:outlineLvl w:val="0"/>
        <w:rPr>
          <w:rFonts w:ascii="Arial Narrow" w:eastAsiaTheme="minorEastAsia" w:hAnsi="Arial Narrow" w:cs="Segoe UI"/>
          <w:sz w:val="19"/>
          <w:szCs w:val="19"/>
          <w:lang w:eastAsia="ko-KR"/>
        </w:rPr>
      </w:pPr>
      <w:r>
        <w:rPr>
          <w:rFonts w:ascii="Arial Narrow" w:hAnsi="Arial Narrow" w:cs="Segoe UI"/>
          <w:sz w:val="19"/>
          <w:szCs w:val="19"/>
        </w:rPr>
        <w:t xml:space="preserve">- </w:t>
      </w:r>
      <w:r w:rsidRPr="005A589F">
        <w:rPr>
          <w:rFonts w:ascii="Arial Narrow" w:hAnsi="Arial Narrow" w:cs="Segoe UI"/>
          <w:sz w:val="19"/>
          <w:szCs w:val="19"/>
        </w:rPr>
        <w:t>commercial area development and electro-mechanical works will also be incorporated, along with the preparation of a land acquisition and utility infrastructure report and the establishment of a project monitoring and management structure.</w:t>
      </w:r>
    </w:p>
    <w:p w:rsidR="003D29A9" w:rsidRDefault="003D29A9" w:rsidP="003D29A9">
      <w:pPr>
        <w:keepNext/>
        <w:widowControl w:val="0"/>
        <w:tabs>
          <w:tab w:val="center" w:pos="0"/>
        </w:tabs>
        <w:autoSpaceDE w:val="0"/>
        <w:autoSpaceDN w:val="0"/>
        <w:adjustRightInd w:val="0"/>
        <w:ind w:left="720" w:right="43"/>
        <w:jc w:val="both"/>
        <w:outlineLvl w:val="0"/>
        <w:rPr>
          <w:rFonts w:ascii="Arial Narrow" w:eastAsiaTheme="minorEastAsia" w:hAnsi="Arial Narrow" w:cs="Segoe UI"/>
          <w:sz w:val="19"/>
          <w:szCs w:val="19"/>
          <w:lang w:eastAsia="ko-KR"/>
        </w:rPr>
      </w:pPr>
      <w:r w:rsidRPr="005A589F">
        <w:rPr>
          <w:rFonts w:ascii="Arial Narrow" w:hAnsi="Arial Narrow" w:cs="Segoe UI"/>
          <w:b/>
          <w:bCs/>
          <w:sz w:val="19"/>
          <w:szCs w:val="19"/>
        </w:rPr>
        <w:t>Stage 3: Project Management, Preparation of Bidding Documents and Procurement Support</w:t>
      </w:r>
      <w:r w:rsidRPr="005A589F">
        <w:rPr>
          <w:rFonts w:ascii="Arial Narrow" w:hAnsi="Arial Narrow" w:cs="Segoe UI"/>
          <w:sz w:val="19"/>
          <w:szCs w:val="19"/>
        </w:rPr>
        <w:t xml:space="preserve"> </w:t>
      </w:r>
    </w:p>
    <w:p w:rsidR="003D29A9" w:rsidRPr="001127AA" w:rsidRDefault="003D29A9" w:rsidP="003D29A9">
      <w:pPr>
        <w:keepNext/>
        <w:widowControl w:val="0"/>
        <w:tabs>
          <w:tab w:val="center" w:pos="0"/>
        </w:tabs>
        <w:autoSpaceDE w:val="0"/>
        <w:autoSpaceDN w:val="0"/>
        <w:adjustRightInd w:val="0"/>
        <w:ind w:left="720" w:right="43"/>
        <w:jc w:val="both"/>
        <w:outlineLvl w:val="0"/>
        <w:rPr>
          <w:rFonts w:ascii="Arial Narrow" w:eastAsiaTheme="minorEastAsia" w:hAnsi="Arial Narrow" w:cs="Segoe UI"/>
          <w:sz w:val="19"/>
          <w:szCs w:val="19"/>
          <w:lang w:eastAsia="ko-KR"/>
        </w:rPr>
      </w:pPr>
      <w:r w:rsidRPr="005A589F">
        <w:rPr>
          <w:rFonts w:ascii="Arial Narrow" w:eastAsiaTheme="minorEastAsia" w:hAnsi="Arial Narrow" w:cs="Segoe UI"/>
          <w:sz w:val="19"/>
          <w:szCs w:val="19"/>
          <w:lang w:eastAsia="ko-KR"/>
        </w:rPr>
        <w:t>-</w:t>
      </w:r>
      <w:r>
        <w:rPr>
          <w:rFonts w:ascii="Arial Narrow" w:hAnsi="Arial Narrow" w:cs="Segoe UI"/>
          <w:sz w:val="19"/>
          <w:szCs w:val="19"/>
        </w:rPr>
        <w:t xml:space="preserve"> </w:t>
      </w:r>
      <w:r w:rsidRPr="005A589F">
        <w:rPr>
          <w:rFonts w:ascii="Arial Narrow" w:hAnsi="Arial Narrow" w:cs="Segoe UI"/>
          <w:sz w:val="19"/>
          <w:szCs w:val="19"/>
        </w:rPr>
        <w:t>preparation of bidding documents, provision of procurement support during the bidding process, and project management tasks to ensure timely and effective delivery of all project outputs.</w:t>
      </w:r>
    </w:p>
    <w:p w:rsidR="003D29A9" w:rsidRPr="000D5D36" w:rsidRDefault="003D29A9" w:rsidP="003D29A9">
      <w:pPr>
        <w:keepNext/>
        <w:widowControl w:val="0"/>
        <w:numPr>
          <w:ilvl w:val="0"/>
          <w:numId w:val="1"/>
        </w:numPr>
        <w:tabs>
          <w:tab w:val="center" w:pos="0"/>
        </w:tabs>
        <w:autoSpaceDE w:val="0"/>
        <w:autoSpaceDN w:val="0"/>
        <w:adjustRightInd w:val="0"/>
        <w:ind w:left="0" w:right="43"/>
        <w:contextualSpacing/>
        <w:jc w:val="both"/>
        <w:outlineLvl w:val="0"/>
        <w:rPr>
          <w:rFonts w:ascii="Arial Narrow" w:hAnsi="Arial Narrow" w:cs="Arial"/>
          <w:sz w:val="19"/>
          <w:szCs w:val="19"/>
        </w:rPr>
      </w:pPr>
      <w:r w:rsidRPr="00410955">
        <w:rPr>
          <w:rFonts w:ascii="Arial Narrow" w:eastAsia="Arial" w:hAnsi="Arial Narrow" w:cs="Arial"/>
          <w:bCs/>
          <w:sz w:val="19"/>
          <w:szCs w:val="19"/>
        </w:rPr>
        <w:t>BTEB</w:t>
      </w:r>
      <w:r w:rsidRPr="00410955">
        <w:rPr>
          <w:rFonts w:ascii="Arial Narrow" w:hAnsi="Arial Narrow" w:cs="Arial"/>
          <w:sz w:val="19"/>
          <w:szCs w:val="19"/>
        </w:rPr>
        <w:t xml:space="preserve"> is now seeking Expressions of Interest (EOI) from reputed firms individually and/or in association with other firms to carry out the Consultancy Services for feasibility study, detailed engineering design and procurement support for sustainable Bus Rapid Transit (BRT) Network Quetta, Balochistan. Both local and international firms are encouraged to apply for this assignment in lead, JV partner or </w:t>
      </w:r>
      <w:proofErr w:type="spellStart"/>
      <w:r w:rsidRPr="00410955">
        <w:rPr>
          <w:rFonts w:ascii="Arial Narrow" w:hAnsi="Arial Narrow" w:cs="Arial"/>
          <w:sz w:val="19"/>
          <w:szCs w:val="19"/>
        </w:rPr>
        <w:t>subconsultant</w:t>
      </w:r>
      <w:proofErr w:type="spellEnd"/>
      <w:r w:rsidRPr="00410955">
        <w:rPr>
          <w:rFonts w:ascii="Arial Narrow" w:hAnsi="Arial Narrow" w:cs="Arial"/>
          <w:sz w:val="19"/>
          <w:szCs w:val="19"/>
        </w:rPr>
        <w:t xml:space="preserve"> role, as per their mutually agreed consortium agreement. Selection of consulting firm will be governed by ADB’s Procurement Policy and ADB’s Procurement Regulations 2017 (as amended from</w:t>
      </w:r>
      <w:r w:rsidRPr="000D5D36">
        <w:rPr>
          <w:rFonts w:ascii="Arial Narrow" w:hAnsi="Arial Narrow" w:cs="Arial"/>
          <w:sz w:val="19"/>
          <w:szCs w:val="19"/>
        </w:rPr>
        <w:t xml:space="preserve"> time to time).</w:t>
      </w:r>
    </w:p>
    <w:p w:rsidR="003D29A9" w:rsidRPr="000D5D36" w:rsidRDefault="003D29A9" w:rsidP="003D29A9">
      <w:pPr>
        <w:keepNext/>
        <w:widowControl w:val="0"/>
        <w:tabs>
          <w:tab w:val="center" w:pos="0"/>
        </w:tabs>
        <w:autoSpaceDE w:val="0"/>
        <w:autoSpaceDN w:val="0"/>
        <w:adjustRightInd w:val="0"/>
        <w:ind w:right="43"/>
        <w:contextualSpacing/>
        <w:jc w:val="both"/>
        <w:outlineLvl w:val="0"/>
        <w:rPr>
          <w:rFonts w:ascii="Arial Narrow" w:hAnsi="Arial Narrow" w:cs="Arial"/>
          <w:b/>
          <w:color w:val="00B050"/>
          <w:sz w:val="19"/>
          <w:szCs w:val="19"/>
        </w:rPr>
      </w:pPr>
    </w:p>
    <w:p w:rsidR="003D29A9" w:rsidRPr="00035C48" w:rsidRDefault="003D29A9" w:rsidP="003D29A9">
      <w:pPr>
        <w:jc w:val="both"/>
        <w:rPr>
          <w:rFonts w:ascii="Arial Narrow" w:eastAsiaTheme="minorEastAsia" w:hAnsi="Arial Narrow" w:cs="Arial"/>
          <w:b/>
          <w:color w:val="000000"/>
          <w:sz w:val="19"/>
          <w:szCs w:val="19"/>
          <w:lang w:eastAsia="ko-KR"/>
        </w:rPr>
      </w:pPr>
      <w:r w:rsidRPr="000D5D36">
        <w:rPr>
          <w:rFonts w:ascii="Arial Narrow" w:hAnsi="Arial Narrow" w:cs="Arial"/>
          <w:b/>
          <w:color w:val="000000"/>
          <w:sz w:val="19"/>
          <w:szCs w:val="19"/>
        </w:rPr>
        <w:t>Consultancy Services:</w:t>
      </w:r>
    </w:p>
    <w:p w:rsidR="003D29A9" w:rsidRPr="000D5D36" w:rsidRDefault="003D29A9" w:rsidP="003D29A9">
      <w:pPr>
        <w:keepNext/>
        <w:widowControl w:val="0"/>
        <w:numPr>
          <w:ilvl w:val="0"/>
          <w:numId w:val="1"/>
        </w:numPr>
        <w:tabs>
          <w:tab w:val="center" w:pos="0"/>
        </w:tabs>
        <w:autoSpaceDE w:val="0"/>
        <w:autoSpaceDN w:val="0"/>
        <w:adjustRightInd w:val="0"/>
        <w:ind w:left="0" w:right="43"/>
        <w:contextualSpacing/>
        <w:jc w:val="both"/>
        <w:outlineLvl w:val="0"/>
        <w:rPr>
          <w:rFonts w:ascii="Arial Narrow" w:hAnsi="Arial Narrow" w:cs="Arial"/>
          <w:color w:val="000000"/>
          <w:sz w:val="19"/>
          <w:szCs w:val="19"/>
        </w:rPr>
      </w:pPr>
      <w:r w:rsidRPr="000D5D36">
        <w:rPr>
          <w:rFonts w:ascii="Arial Narrow" w:hAnsi="Arial Narrow" w:cs="Segoe UI"/>
          <w:color w:val="333333"/>
          <w:sz w:val="19"/>
          <w:szCs w:val="19"/>
        </w:rPr>
        <w:t>The</w:t>
      </w:r>
      <w:r w:rsidRPr="000D5D36">
        <w:rPr>
          <w:rFonts w:ascii="Arial Narrow" w:hAnsi="Arial Narrow" w:cs="Arial"/>
          <w:color w:val="000000"/>
          <w:sz w:val="19"/>
          <w:szCs w:val="19"/>
        </w:rPr>
        <w:t xml:space="preserve"> consultant team will be headed by Team Leader and will comprise key and non-key experts. The person-months of </w:t>
      </w:r>
      <w:proofErr w:type="gramStart"/>
      <w:r w:rsidRPr="000D5D36">
        <w:rPr>
          <w:rFonts w:ascii="Arial Narrow" w:hAnsi="Arial Narrow" w:cs="Arial"/>
          <w:color w:val="000000"/>
          <w:sz w:val="19"/>
          <w:szCs w:val="19"/>
        </w:rPr>
        <w:t>experts</w:t>
      </w:r>
      <w:proofErr w:type="gramEnd"/>
      <w:r w:rsidRPr="000D5D36">
        <w:rPr>
          <w:rFonts w:ascii="Arial Narrow" w:hAnsi="Arial Narrow" w:cs="Arial"/>
          <w:color w:val="000000"/>
          <w:sz w:val="19"/>
          <w:szCs w:val="19"/>
        </w:rPr>
        <w:t xml:space="preserve"> input are tentatively mentioned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1151"/>
        <w:gridCol w:w="1027"/>
        <w:gridCol w:w="1440"/>
        <w:gridCol w:w="1081"/>
        <w:gridCol w:w="2164"/>
        <w:gridCol w:w="1431"/>
      </w:tblGrid>
      <w:tr w:rsidR="003D29A9" w:rsidRPr="000D5D36" w:rsidTr="00442797">
        <w:tc>
          <w:tcPr>
            <w:tcW w:w="1730" w:type="pct"/>
            <w:gridSpan w:val="3"/>
          </w:tcPr>
          <w:p w:rsidR="003D29A9" w:rsidRPr="00156805" w:rsidRDefault="003D29A9" w:rsidP="00442797">
            <w:pPr>
              <w:ind w:left="-90" w:right="-108"/>
              <w:jc w:val="center"/>
              <w:rPr>
                <w:rFonts w:ascii="Arial Narrow" w:hAnsi="Arial Narrow" w:cs="Arial"/>
                <w:b/>
                <w:color w:val="000000" w:themeColor="text1"/>
                <w:sz w:val="18"/>
                <w:szCs w:val="18"/>
              </w:rPr>
            </w:pPr>
            <w:r w:rsidRPr="00156805">
              <w:rPr>
                <w:rFonts w:ascii="Arial Narrow" w:hAnsi="Arial Narrow" w:cs="Arial"/>
                <w:b/>
                <w:color w:val="000000" w:themeColor="text1"/>
                <w:sz w:val="18"/>
                <w:szCs w:val="18"/>
              </w:rPr>
              <w:t>Expert Input / Person-months for key staff</w:t>
            </w:r>
          </w:p>
        </w:tc>
        <w:tc>
          <w:tcPr>
            <w:tcW w:w="770" w:type="pct"/>
            <w:vMerge w:val="restart"/>
            <w:vAlign w:val="center"/>
          </w:tcPr>
          <w:p w:rsidR="003D29A9" w:rsidRPr="00156805" w:rsidRDefault="003D29A9" w:rsidP="00442797">
            <w:pPr>
              <w:ind w:left="-90" w:right="-108"/>
              <w:jc w:val="center"/>
              <w:rPr>
                <w:rFonts w:ascii="Arial Narrow" w:hAnsi="Arial Narrow" w:cs="Arial"/>
                <w:b/>
                <w:color w:val="000000" w:themeColor="text1"/>
                <w:sz w:val="18"/>
                <w:szCs w:val="18"/>
              </w:rPr>
            </w:pPr>
            <w:r w:rsidRPr="00156805">
              <w:rPr>
                <w:rFonts w:ascii="Arial Narrow" w:hAnsi="Arial Narrow" w:cs="Arial"/>
                <w:b/>
                <w:color w:val="000000" w:themeColor="text1"/>
                <w:sz w:val="18"/>
                <w:szCs w:val="18"/>
              </w:rPr>
              <w:t>Expected date of Commencement</w:t>
            </w:r>
          </w:p>
        </w:tc>
        <w:tc>
          <w:tcPr>
            <w:tcW w:w="578" w:type="pct"/>
            <w:vMerge w:val="restart"/>
            <w:vAlign w:val="center"/>
          </w:tcPr>
          <w:p w:rsidR="003D29A9" w:rsidRPr="00156805" w:rsidRDefault="003D29A9" w:rsidP="00442797">
            <w:pPr>
              <w:ind w:left="-108" w:right="-108"/>
              <w:jc w:val="center"/>
              <w:rPr>
                <w:rFonts w:ascii="Arial Narrow" w:hAnsi="Arial Narrow" w:cs="Arial"/>
                <w:b/>
                <w:color w:val="000000" w:themeColor="text1"/>
                <w:sz w:val="18"/>
                <w:szCs w:val="18"/>
              </w:rPr>
            </w:pPr>
            <w:r w:rsidRPr="00156805">
              <w:rPr>
                <w:rFonts w:ascii="Arial Narrow" w:hAnsi="Arial Narrow" w:cs="Arial"/>
                <w:b/>
                <w:color w:val="000000" w:themeColor="text1"/>
                <w:sz w:val="18"/>
                <w:szCs w:val="18"/>
              </w:rPr>
              <w:t>Duration of assignment</w:t>
            </w:r>
          </w:p>
        </w:tc>
        <w:tc>
          <w:tcPr>
            <w:tcW w:w="1157" w:type="pct"/>
            <w:vMerge w:val="restart"/>
            <w:vAlign w:val="center"/>
          </w:tcPr>
          <w:p w:rsidR="003D29A9" w:rsidRPr="00156805" w:rsidRDefault="003D29A9" w:rsidP="00442797">
            <w:pPr>
              <w:ind w:left="-108" w:right="-108"/>
              <w:jc w:val="center"/>
              <w:rPr>
                <w:rFonts w:ascii="Arial Narrow" w:hAnsi="Arial Narrow" w:cs="Arial"/>
                <w:b/>
                <w:color w:val="000000" w:themeColor="text1"/>
                <w:sz w:val="18"/>
                <w:szCs w:val="18"/>
              </w:rPr>
            </w:pPr>
            <w:r w:rsidRPr="00156805">
              <w:rPr>
                <w:rFonts w:ascii="Arial Narrow" w:hAnsi="Arial Narrow" w:cs="Arial"/>
                <w:b/>
                <w:color w:val="000000" w:themeColor="text1"/>
                <w:sz w:val="18"/>
                <w:szCs w:val="18"/>
              </w:rPr>
              <w:t>Method of Procurement</w:t>
            </w:r>
          </w:p>
        </w:tc>
        <w:tc>
          <w:tcPr>
            <w:tcW w:w="765" w:type="pct"/>
            <w:vMerge w:val="restart"/>
            <w:vAlign w:val="center"/>
          </w:tcPr>
          <w:p w:rsidR="003D29A9" w:rsidRPr="00156805" w:rsidRDefault="003D29A9" w:rsidP="00442797">
            <w:pPr>
              <w:jc w:val="center"/>
              <w:rPr>
                <w:rFonts w:ascii="Arial Narrow" w:hAnsi="Arial Narrow" w:cs="Arial"/>
                <w:b/>
                <w:color w:val="000000" w:themeColor="text1"/>
                <w:sz w:val="18"/>
                <w:szCs w:val="18"/>
              </w:rPr>
            </w:pPr>
            <w:r w:rsidRPr="00156805">
              <w:rPr>
                <w:rFonts w:ascii="Arial Narrow" w:hAnsi="Arial Narrow" w:cs="Arial"/>
                <w:b/>
                <w:color w:val="000000" w:themeColor="text1"/>
                <w:sz w:val="18"/>
                <w:szCs w:val="18"/>
              </w:rPr>
              <w:t>Type of Consultancy</w:t>
            </w:r>
          </w:p>
        </w:tc>
      </w:tr>
      <w:tr w:rsidR="003D29A9" w:rsidRPr="000D5D36" w:rsidTr="00442797">
        <w:tc>
          <w:tcPr>
            <w:tcW w:w="565" w:type="pct"/>
          </w:tcPr>
          <w:p w:rsidR="003D29A9" w:rsidRPr="00156805" w:rsidRDefault="003D29A9" w:rsidP="00442797">
            <w:pPr>
              <w:ind w:left="-108" w:right="-126"/>
              <w:jc w:val="center"/>
              <w:rPr>
                <w:rFonts w:ascii="Arial Narrow" w:hAnsi="Arial Narrow" w:cs="Arial"/>
                <w:b/>
                <w:color w:val="000000" w:themeColor="text1"/>
                <w:sz w:val="18"/>
                <w:szCs w:val="18"/>
              </w:rPr>
            </w:pPr>
            <w:r w:rsidRPr="00156805">
              <w:rPr>
                <w:rFonts w:ascii="Arial Narrow" w:hAnsi="Arial Narrow" w:cs="Arial"/>
                <w:b/>
                <w:color w:val="000000" w:themeColor="text1"/>
                <w:sz w:val="18"/>
                <w:szCs w:val="18"/>
              </w:rPr>
              <w:t>International</w:t>
            </w:r>
          </w:p>
        </w:tc>
        <w:tc>
          <w:tcPr>
            <w:tcW w:w="616" w:type="pct"/>
          </w:tcPr>
          <w:p w:rsidR="003D29A9" w:rsidRPr="00156805" w:rsidRDefault="003D29A9" w:rsidP="00442797">
            <w:pPr>
              <w:jc w:val="center"/>
              <w:rPr>
                <w:rFonts w:ascii="Arial Narrow" w:hAnsi="Arial Narrow" w:cs="Arial"/>
                <w:b/>
                <w:color w:val="000000" w:themeColor="text1"/>
                <w:sz w:val="18"/>
                <w:szCs w:val="18"/>
              </w:rPr>
            </w:pPr>
            <w:r w:rsidRPr="00156805">
              <w:rPr>
                <w:rFonts w:ascii="Arial Narrow" w:hAnsi="Arial Narrow" w:cs="Arial"/>
                <w:b/>
                <w:color w:val="000000" w:themeColor="text1"/>
                <w:sz w:val="18"/>
                <w:szCs w:val="18"/>
              </w:rPr>
              <w:t>National</w:t>
            </w:r>
          </w:p>
        </w:tc>
        <w:tc>
          <w:tcPr>
            <w:tcW w:w="548" w:type="pct"/>
          </w:tcPr>
          <w:p w:rsidR="003D29A9" w:rsidRPr="00156805" w:rsidRDefault="003D29A9" w:rsidP="00442797">
            <w:pPr>
              <w:jc w:val="center"/>
              <w:rPr>
                <w:rFonts w:ascii="Arial Narrow" w:hAnsi="Arial Narrow" w:cs="Arial"/>
                <w:b/>
                <w:color w:val="000000" w:themeColor="text1"/>
                <w:sz w:val="18"/>
                <w:szCs w:val="18"/>
              </w:rPr>
            </w:pPr>
            <w:r w:rsidRPr="00156805">
              <w:rPr>
                <w:rFonts w:ascii="Arial Narrow" w:hAnsi="Arial Narrow" w:cs="Arial"/>
                <w:b/>
                <w:color w:val="000000" w:themeColor="text1"/>
                <w:sz w:val="18"/>
                <w:szCs w:val="18"/>
              </w:rPr>
              <w:t>Total</w:t>
            </w:r>
          </w:p>
        </w:tc>
        <w:tc>
          <w:tcPr>
            <w:tcW w:w="770" w:type="pct"/>
            <w:vMerge/>
          </w:tcPr>
          <w:p w:rsidR="003D29A9" w:rsidRPr="000D5D36" w:rsidRDefault="003D29A9" w:rsidP="00442797">
            <w:pPr>
              <w:jc w:val="center"/>
              <w:rPr>
                <w:rFonts w:ascii="Arial Narrow" w:hAnsi="Arial Narrow" w:cs="Arial"/>
                <w:b/>
                <w:color w:val="000000" w:themeColor="text1"/>
                <w:sz w:val="19"/>
                <w:szCs w:val="19"/>
              </w:rPr>
            </w:pPr>
          </w:p>
        </w:tc>
        <w:tc>
          <w:tcPr>
            <w:tcW w:w="578" w:type="pct"/>
            <w:vMerge/>
          </w:tcPr>
          <w:p w:rsidR="003D29A9" w:rsidRPr="000D5D36" w:rsidRDefault="003D29A9" w:rsidP="00442797">
            <w:pPr>
              <w:jc w:val="center"/>
              <w:rPr>
                <w:rFonts w:ascii="Arial Narrow" w:hAnsi="Arial Narrow" w:cs="Arial"/>
                <w:b/>
                <w:color w:val="000000" w:themeColor="text1"/>
                <w:sz w:val="19"/>
                <w:szCs w:val="19"/>
              </w:rPr>
            </w:pPr>
          </w:p>
        </w:tc>
        <w:tc>
          <w:tcPr>
            <w:tcW w:w="1157" w:type="pct"/>
            <w:vMerge/>
            <w:vAlign w:val="center"/>
          </w:tcPr>
          <w:p w:rsidR="003D29A9" w:rsidRPr="000D5D36" w:rsidRDefault="003D29A9" w:rsidP="00442797">
            <w:pPr>
              <w:jc w:val="center"/>
              <w:rPr>
                <w:rFonts w:ascii="Arial Narrow" w:hAnsi="Arial Narrow" w:cs="Arial"/>
                <w:b/>
                <w:color w:val="000000" w:themeColor="text1"/>
                <w:sz w:val="19"/>
                <w:szCs w:val="19"/>
              </w:rPr>
            </w:pPr>
          </w:p>
        </w:tc>
        <w:tc>
          <w:tcPr>
            <w:tcW w:w="765" w:type="pct"/>
            <w:vMerge/>
            <w:vAlign w:val="center"/>
          </w:tcPr>
          <w:p w:rsidR="003D29A9" w:rsidRPr="000D5D36" w:rsidRDefault="003D29A9" w:rsidP="00442797">
            <w:pPr>
              <w:jc w:val="center"/>
              <w:rPr>
                <w:rFonts w:ascii="Arial Narrow" w:hAnsi="Arial Narrow" w:cs="Arial"/>
                <w:b/>
                <w:color w:val="000000" w:themeColor="text1"/>
                <w:sz w:val="19"/>
                <w:szCs w:val="19"/>
              </w:rPr>
            </w:pPr>
          </w:p>
        </w:tc>
      </w:tr>
      <w:tr w:rsidR="003D29A9" w:rsidRPr="000D5D36" w:rsidTr="00442797">
        <w:trPr>
          <w:trHeight w:val="215"/>
        </w:trPr>
        <w:tc>
          <w:tcPr>
            <w:tcW w:w="565" w:type="pct"/>
            <w:vAlign w:val="center"/>
          </w:tcPr>
          <w:p w:rsidR="003D29A9" w:rsidRPr="000330EB" w:rsidRDefault="003D29A9" w:rsidP="00442797">
            <w:pPr>
              <w:jc w:val="center"/>
              <w:rPr>
                <w:rFonts w:ascii="Arial Narrow" w:hAnsi="Arial Narrow" w:cs="Arial"/>
                <w:color w:val="000000" w:themeColor="text1"/>
                <w:sz w:val="18"/>
                <w:szCs w:val="18"/>
              </w:rPr>
            </w:pPr>
            <w:r w:rsidRPr="000330EB">
              <w:rPr>
                <w:rFonts w:ascii="Arial Narrow" w:hAnsi="Arial Narrow" w:cs="Arial"/>
                <w:color w:val="000000" w:themeColor="text1"/>
                <w:sz w:val="18"/>
                <w:szCs w:val="18"/>
              </w:rPr>
              <w:t>122</w:t>
            </w:r>
          </w:p>
        </w:tc>
        <w:tc>
          <w:tcPr>
            <w:tcW w:w="616" w:type="pct"/>
            <w:vAlign w:val="center"/>
          </w:tcPr>
          <w:p w:rsidR="003D29A9" w:rsidRPr="000330EB" w:rsidRDefault="003D29A9" w:rsidP="00442797">
            <w:pPr>
              <w:jc w:val="center"/>
              <w:rPr>
                <w:rFonts w:ascii="Arial Narrow" w:hAnsi="Arial Narrow" w:cs="Arial"/>
                <w:color w:val="000000" w:themeColor="text1"/>
                <w:sz w:val="18"/>
                <w:szCs w:val="18"/>
              </w:rPr>
            </w:pPr>
            <w:r w:rsidRPr="000330EB">
              <w:rPr>
                <w:rFonts w:ascii="Arial Narrow" w:hAnsi="Arial Narrow" w:cs="Arial"/>
                <w:color w:val="000000" w:themeColor="text1"/>
                <w:sz w:val="18"/>
                <w:szCs w:val="18"/>
              </w:rPr>
              <w:t>135</w:t>
            </w:r>
          </w:p>
        </w:tc>
        <w:tc>
          <w:tcPr>
            <w:tcW w:w="548" w:type="pct"/>
            <w:vAlign w:val="center"/>
          </w:tcPr>
          <w:p w:rsidR="003D29A9" w:rsidRPr="000330EB" w:rsidRDefault="003D29A9" w:rsidP="00442797">
            <w:pPr>
              <w:jc w:val="center"/>
              <w:rPr>
                <w:rFonts w:ascii="Arial Narrow" w:hAnsi="Arial Narrow" w:cs="Arial"/>
                <w:color w:val="000000" w:themeColor="text1"/>
                <w:sz w:val="18"/>
                <w:szCs w:val="18"/>
              </w:rPr>
            </w:pPr>
            <w:r w:rsidRPr="000330EB">
              <w:rPr>
                <w:rFonts w:ascii="Arial Narrow" w:hAnsi="Arial Narrow" w:cs="Arial"/>
                <w:color w:val="000000" w:themeColor="text1"/>
                <w:sz w:val="18"/>
                <w:szCs w:val="18"/>
              </w:rPr>
              <w:t>257</w:t>
            </w:r>
          </w:p>
        </w:tc>
        <w:tc>
          <w:tcPr>
            <w:tcW w:w="770" w:type="pct"/>
            <w:vAlign w:val="center"/>
          </w:tcPr>
          <w:p w:rsidR="003D29A9" w:rsidRPr="000330EB" w:rsidRDefault="003D29A9" w:rsidP="00442797">
            <w:pPr>
              <w:jc w:val="center"/>
              <w:rPr>
                <w:rFonts w:ascii="Arial Narrow" w:hAnsi="Arial Narrow" w:cs="Arial"/>
                <w:color w:val="000000" w:themeColor="text1"/>
                <w:sz w:val="18"/>
                <w:szCs w:val="18"/>
              </w:rPr>
            </w:pPr>
            <w:r w:rsidRPr="000330EB">
              <w:rPr>
                <w:rFonts w:ascii="Arial Narrow" w:hAnsi="Arial Narrow" w:cs="Arial"/>
                <w:sz w:val="18"/>
                <w:szCs w:val="18"/>
              </w:rPr>
              <w:t>Q1-2026</w:t>
            </w:r>
          </w:p>
        </w:tc>
        <w:tc>
          <w:tcPr>
            <w:tcW w:w="578" w:type="pct"/>
            <w:vAlign w:val="center"/>
          </w:tcPr>
          <w:p w:rsidR="003D29A9" w:rsidRPr="000330EB" w:rsidRDefault="003D29A9" w:rsidP="00442797">
            <w:pPr>
              <w:jc w:val="center"/>
              <w:rPr>
                <w:rFonts w:ascii="Arial Narrow" w:hAnsi="Arial Narrow" w:cs="Arial"/>
                <w:color w:val="000000" w:themeColor="text1"/>
                <w:sz w:val="18"/>
                <w:szCs w:val="18"/>
              </w:rPr>
            </w:pPr>
            <w:r w:rsidRPr="000330EB">
              <w:rPr>
                <w:rFonts w:ascii="Arial Narrow" w:hAnsi="Arial Narrow" w:cs="Arial"/>
                <w:color w:val="000000" w:themeColor="text1"/>
                <w:sz w:val="18"/>
                <w:szCs w:val="18"/>
              </w:rPr>
              <w:t xml:space="preserve">18 Months </w:t>
            </w:r>
          </w:p>
        </w:tc>
        <w:tc>
          <w:tcPr>
            <w:tcW w:w="1157" w:type="pct"/>
            <w:vAlign w:val="center"/>
          </w:tcPr>
          <w:p w:rsidR="003D29A9" w:rsidRPr="000330EB" w:rsidRDefault="003D29A9" w:rsidP="00442797">
            <w:pPr>
              <w:jc w:val="center"/>
              <w:rPr>
                <w:rFonts w:ascii="Arial Narrow" w:hAnsi="Arial Narrow" w:cs="Arial"/>
                <w:color w:val="000000" w:themeColor="text1"/>
                <w:sz w:val="18"/>
                <w:szCs w:val="18"/>
              </w:rPr>
            </w:pPr>
            <w:r w:rsidRPr="000330EB">
              <w:rPr>
                <w:rFonts w:ascii="Arial Narrow" w:hAnsi="Arial Narrow" w:cs="Arial"/>
                <w:color w:val="000000"/>
                <w:sz w:val="18"/>
                <w:szCs w:val="18"/>
              </w:rPr>
              <w:t>Quality and Cost-Based Selection (QCBS</w:t>
            </w:r>
            <w:r w:rsidRPr="000330EB">
              <w:rPr>
                <w:rFonts w:ascii="Arial Narrow" w:hAnsi="Arial Narrow" w:cs="Arial"/>
                <w:sz w:val="18"/>
                <w:szCs w:val="18"/>
              </w:rPr>
              <w:t>) (80:20)</w:t>
            </w:r>
          </w:p>
        </w:tc>
        <w:tc>
          <w:tcPr>
            <w:tcW w:w="765" w:type="pct"/>
            <w:vAlign w:val="center"/>
          </w:tcPr>
          <w:p w:rsidR="003D29A9" w:rsidRPr="000330EB" w:rsidRDefault="003D29A9" w:rsidP="00442797">
            <w:pPr>
              <w:jc w:val="center"/>
              <w:rPr>
                <w:rFonts w:ascii="Arial Narrow" w:hAnsi="Arial Narrow" w:cs="Arial"/>
                <w:color w:val="000000" w:themeColor="text1"/>
                <w:sz w:val="18"/>
                <w:szCs w:val="18"/>
              </w:rPr>
            </w:pPr>
            <w:r w:rsidRPr="000330EB">
              <w:rPr>
                <w:rFonts w:ascii="Arial Narrow" w:hAnsi="Arial Narrow" w:cs="Arial"/>
                <w:color w:val="000000" w:themeColor="text1"/>
                <w:sz w:val="18"/>
                <w:szCs w:val="18"/>
              </w:rPr>
              <w:t>Consultancy firm</w:t>
            </w:r>
          </w:p>
        </w:tc>
      </w:tr>
    </w:tbl>
    <w:p w:rsidR="003D29A9" w:rsidRPr="000330EB" w:rsidRDefault="003D29A9" w:rsidP="003D29A9">
      <w:pPr>
        <w:jc w:val="both"/>
        <w:rPr>
          <w:rFonts w:ascii="Arial Narrow" w:eastAsiaTheme="minorEastAsia" w:hAnsi="Arial Narrow" w:cs="Arial"/>
          <w:i/>
          <w:iCs/>
          <w:color w:val="000000"/>
          <w:sz w:val="17"/>
          <w:szCs w:val="17"/>
          <w:lang w:eastAsia="ko-KR"/>
        </w:rPr>
      </w:pPr>
      <w:r w:rsidRPr="000330EB">
        <w:rPr>
          <w:rFonts w:ascii="Arial Narrow" w:eastAsiaTheme="minorEastAsia" w:hAnsi="Arial Narrow" w:cs="Arial" w:hint="eastAsia"/>
          <w:i/>
          <w:iCs/>
          <w:color w:val="000000"/>
          <w:sz w:val="17"/>
          <w:szCs w:val="17"/>
          <w:lang w:eastAsia="ko-KR"/>
        </w:rPr>
        <w:t>Note: The total duration of the assignment is 18 months</w:t>
      </w:r>
      <w:r>
        <w:rPr>
          <w:rFonts w:ascii="Arial Narrow" w:eastAsiaTheme="minorEastAsia" w:hAnsi="Arial Narrow" w:cs="Arial" w:hint="eastAsia"/>
          <w:i/>
          <w:iCs/>
          <w:color w:val="000000"/>
          <w:sz w:val="17"/>
          <w:szCs w:val="17"/>
          <w:lang w:eastAsia="ko-KR"/>
        </w:rPr>
        <w:t>: s</w:t>
      </w:r>
      <w:r w:rsidRPr="000330EB">
        <w:rPr>
          <w:rFonts w:ascii="Arial Narrow" w:eastAsiaTheme="minorEastAsia" w:hAnsi="Arial Narrow" w:cs="Arial" w:hint="eastAsia"/>
          <w:i/>
          <w:iCs/>
          <w:color w:val="000000"/>
          <w:sz w:val="17"/>
          <w:szCs w:val="17"/>
          <w:lang w:eastAsia="ko-KR"/>
        </w:rPr>
        <w:t>tage 1</w:t>
      </w:r>
      <w:r>
        <w:rPr>
          <w:rFonts w:ascii="Arial Narrow" w:eastAsiaTheme="minorEastAsia" w:hAnsi="Arial Narrow" w:cs="Arial" w:hint="eastAsia"/>
          <w:i/>
          <w:iCs/>
          <w:color w:val="000000"/>
          <w:sz w:val="17"/>
          <w:szCs w:val="17"/>
          <w:lang w:eastAsia="ko-KR"/>
        </w:rPr>
        <w:t xml:space="preserve"> in</w:t>
      </w:r>
      <w:r w:rsidRPr="000330EB">
        <w:rPr>
          <w:rFonts w:ascii="Arial Narrow" w:eastAsiaTheme="minorEastAsia" w:hAnsi="Arial Narrow" w:cs="Arial" w:hint="eastAsia"/>
          <w:i/>
          <w:iCs/>
          <w:color w:val="000000"/>
          <w:sz w:val="17"/>
          <w:szCs w:val="17"/>
          <w:lang w:eastAsia="ko-KR"/>
        </w:rPr>
        <w:t xml:space="preserve"> 8 months</w:t>
      </w:r>
      <w:r>
        <w:rPr>
          <w:rFonts w:ascii="Arial Narrow" w:eastAsiaTheme="minorEastAsia" w:hAnsi="Arial Narrow" w:cs="Arial" w:hint="eastAsia"/>
          <w:i/>
          <w:iCs/>
          <w:color w:val="000000"/>
          <w:sz w:val="17"/>
          <w:szCs w:val="17"/>
          <w:lang w:eastAsia="ko-KR"/>
        </w:rPr>
        <w:t xml:space="preserve"> from date of commencement,</w:t>
      </w:r>
      <w:r w:rsidRPr="000330EB">
        <w:rPr>
          <w:rFonts w:ascii="Arial Narrow" w:eastAsiaTheme="minorEastAsia" w:hAnsi="Arial Narrow" w:cs="Arial" w:hint="eastAsia"/>
          <w:i/>
          <w:iCs/>
          <w:color w:val="000000"/>
          <w:sz w:val="17"/>
          <w:szCs w:val="17"/>
          <w:lang w:eastAsia="ko-KR"/>
        </w:rPr>
        <w:t xml:space="preserve"> </w:t>
      </w:r>
      <w:r>
        <w:rPr>
          <w:rFonts w:ascii="Arial Narrow" w:eastAsiaTheme="minorEastAsia" w:hAnsi="Arial Narrow" w:cs="Arial" w:hint="eastAsia"/>
          <w:i/>
          <w:iCs/>
          <w:color w:val="000000"/>
          <w:sz w:val="17"/>
          <w:szCs w:val="17"/>
          <w:lang w:eastAsia="ko-KR"/>
        </w:rPr>
        <w:t>s</w:t>
      </w:r>
      <w:r w:rsidRPr="000330EB">
        <w:rPr>
          <w:rFonts w:ascii="Arial Narrow" w:eastAsiaTheme="minorEastAsia" w:hAnsi="Arial Narrow" w:cs="Arial" w:hint="eastAsia"/>
          <w:i/>
          <w:iCs/>
          <w:color w:val="000000"/>
          <w:sz w:val="17"/>
          <w:szCs w:val="17"/>
          <w:lang w:eastAsia="ko-KR"/>
        </w:rPr>
        <w:t>tage 2</w:t>
      </w:r>
      <w:r>
        <w:rPr>
          <w:rFonts w:ascii="Arial Narrow" w:eastAsiaTheme="minorEastAsia" w:hAnsi="Arial Narrow" w:cs="Arial" w:hint="eastAsia"/>
          <w:i/>
          <w:iCs/>
          <w:color w:val="000000"/>
          <w:sz w:val="17"/>
          <w:szCs w:val="17"/>
          <w:lang w:eastAsia="ko-KR"/>
        </w:rPr>
        <w:t xml:space="preserve"> in 12 months from date of commencement, and stage 3 for next</w:t>
      </w:r>
      <w:r w:rsidRPr="000330EB">
        <w:rPr>
          <w:rFonts w:ascii="Arial Narrow" w:eastAsiaTheme="minorEastAsia" w:hAnsi="Arial Narrow" w:cs="Arial" w:hint="eastAsia"/>
          <w:i/>
          <w:iCs/>
          <w:color w:val="000000"/>
          <w:sz w:val="17"/>
          <w:szCs w:val="17"/>
          <w:lang w:eastAsia="ko-KR"/>
        </w:rPr>
        <w:t xml:space="preserve"> 6 months.</w:t>
      </w:r>
    </w:p>
    <w:p w:rsidR="003D29A9" w:rsidRPr="00442797" w:rsidRDefault="003D29A9" w:rsidP="003D29A9">
      <w:pPr>
        <w:jc w:val="both"/>
        <w:rPr>
          <w:rFonts w:ascii="Arial Narrow" w:eastAsiaTheme="minorEastAsia" w:hAnsi="Arial Narrow" w:cs="Arial"/>
          <w:b/>
          <w:bCs/>
          <w:i/>
          <w:iCs/>
          <w:sz w:val="17"/>
          <w:szCs w:val="17"/>
          <w:u w:val="single"/>
          <w:lang w:eastAsia="ko-KR"/>
        </w:rPr>
      </w:pPr>
      <w:r w:rsidRPr="00442797">
        <w:rPr>
          <w:rFonts w:ascii="Arial Narrow" w:hAnsi="Arial Narrow" w:cs="Arial"/>
          <w:b/>
          <w:bCs/>
          <w:i/>
          <w:iCs/>
          <w:color w:val="000000"/>
          <w:sz w:val="17"/>
          <w:szCs w:val="17"/>
          <w:u w:val="single"/>
        </w:rPr>
        <w:t xml:space="preserve">The Terms of Reference (TOR) can be </w:t>
      </w:r>
      <w:r w:rsidRPr="00442797">
        <w:rPr>
          <w:rFonts w:ascii="Arial Narrow" w:hAnsi="Arial Narrow" w:cs="Arial"/>
          <w:b/>
          <w:bCs/>
          <w:i/>
          <w:iCs/>
          <w:sz w:val="17"/>
          <w:szCs w:val="17"/>
          <w:u w:val="single"/>
        </w:rPr>
        <w:t>downloaded from ADB (</w:t>
      </w:r>
      <w:hyperlink r:id="rId5" w:history="1">
        <w:r w:rsidRPr="00442797">
          <w:rPr>
            <w:rFonts w:ascii="Arial Narrow" w:hAnsi="Arial Narrow" w:cs="Arial"/>
            <w:b/>
            <w:bCs/>
            <w:i/>
            <w:iCs/>
            <w:sz w:val="17"/>
            <w:szCs w:val="17"/>
            <w:u w:val="single"/>
          </w:rPr>
          <w:t>http://www.cms.adb.org</w:t>
        </w:r>
      </w:hyperlink>
      <w:r w:rsidRPr="00442797">
        <w:rPr>
          <w:rFonts w:ascii="Arial Narrow" w:hAnsi="Arial Narrow" w:cs="Arial"/>
          <w:b/>
          <w:bCs/>
          <w:i/>
          <w:iCs/>
          <w:sz w:val="17"/>
          <w:szCs w:val="17"/>
          <w:u w:val="single"/>
        </w:rPr>
        <w:t xml:space="preserve">) and </w:t>
      </w:r>
      <w:proofErr w:type="spellStart"/>
      <w:r w:rsidRPr="00442797">
        <w:rPr>
          <w:rFonts w:ascii="Arial Narrow" w:hAnsi="Arial Narrow" w:cs="Arial"/>
          <w:b/>
          <w:bCs/>
          <w:i/>
          <w:iCs/>
          <w:sz w:val="17"/>
          <w:szCs w:val="17"/>
          <w:u w:val="single"/>
        </w:rPr>
        <w:t>GoB</w:t>
      </w:r>
      <w:proofErr w:type="spellEnd"/>
      <w:r w:rsidRPr="00442797">
        <w:rPr>
          <w:rFonts w:ascii="Arial Narrow" w:hAnsi="Arial Narrow" w:cs="Arial"/>
          <w:b/>
          <w:bCs/>
          <w:i/>
          <w:iCs/>
          <w:sz w:val="17"/>
          <w:szCs w:val="17"/>
          <w:u w:val="single"/>
        </w:rPr>
        <w:t xml:space="preserve"> websites (http://www.balochistan.gov.pk).</w:t>
      </w:r>
    </w:p>
    <w:p w:rsidR="003D29A9" w:rsidRPr="001127AA" w:rsidRDefault="003D29A9" w:rsidP="003D29A9">
      <w:pPr>
        <w:keepNext/>
        <w:widowControl w:val="0"/>
        <w:numPr>
          <w:ilvl w:val="0"/>
          <w:numId w:val="1"/>
        </w:numPr>
        <w:tabs>
          <w:tab w:val="center" w:pos="0"/>
        </w:tabs>
        <w:autoSpaceDE w:val="0"/>
        <w:autoSpaceDN w:val="0"/>
        <w:adjustRightInd w:val="0"/>
        <w:ind w:left="0" w:right="43"/>
        <w:contextualSpacing/>
        <w:jc w:val="both"/>
        <w:outlineLvl w:val="0"/>
        <w:rPr>
          <w:rFonts w:ascii="Arial Narrow" w:hAnsi="Arial Narrow" w:cs="Arial"/>
          <w:i/>
          <w:color w:val="000000" w:themeColor="text1"/>
          <w:sz w:val="19"/>
          <w:szCs w:val="19"/>
        </w:rPr>
      </w:pPr>
      <w:r w:rsidRPr="009563F8">
        <w:rPr>
          <w:rFonts w:ascii="Arial Narrow" w:eastAsia="Arial" w:hAnsi="Arial Narrow" w:cs="Arial"/>
          <w:bCs/>
          <w:sz w:val="19"/>
          <w:szCs w:val="19"/>
        </w:rPr>
        <w:t>The</w:t>
      </w:r>
      <w:r w:rsidRPr="009563F8">
        <w:rPr>
          <w:rFonts w:ascii="Arial Narrow" w:hAnsi="Arial Narrow" w:cs="Arial"/>
          <w:sz w:val="19"/>
          <w:szCs w:val="19"/>
        </w:rPr>
        <w:t xml:space="preserve"> consultants will be recruited using the Full Technical </w:t>
      </w:r>
      <w:r w:rsidRPr="000D5D36">
        <w:rPr>
          <w:rFonts w:ascii="Arial Narrow" w:hAnsi="Arial Narrow" w:cs="Arial"/>
          <w:color w:val="000000" w:themeColor="text1"/>
          <w:sz w:val="19"/>
          <w:szCs w:val="19"/>
        </w:rPr>
        <w:t xml:space="preserve">Proposal (FTP) procedure based on the Quality and Cost-Based Selection (QCBS) (80:20) in accordance with </w:t>
      </w:r>
      <w:r w:rsidRPr="000D5D36">
        <w:rPr>
          <w:rFonts w:ascii="Arial Narrow" w:hAnsi="Arial Narrow" w:cs="Segoe UI"/>
          <w:color w:val="000000" w:themeColor="text1"/>
          <w:sz w:val="19"/>
          <w:szCs w:val="19"/>
        </w:rPr>
        <w:t>ADB’s Procurement Policy, and ADB’s Procurement Regulations 2017, as amended for time to time</w:t>
      </w:r>
      <w:r w:rsidRPr="000D5D36">
        <w:rPr>
          <w:rFonts w:ascii="Arial Narrow" w:hAnsi="Arial Narrow" w:cs="Arial"/>
          <w:iCs/>
          <w:color w:val="000000" w:themeColor="text1"/>
          <w:sz w:val="19"/>
          <w:szCs w:val="19"/>
        </w:rPr>
        <w:t>. The engagement of the selected firm will be through a lump sum output-based contract.</w:t>
      </w:r>
    </w:p>
    <w:p w:rsidR="003D29A9" w:rsidRPr="0046202C" w:rsidRDefault="003D29A9" w:rsidP="003D29A9">
      <w:pPr>
        <w:keepNext/>
        <w:widowControl w:val="0"/>
        <w:numPr>
          <w:ilvl w:val="0"/>
          <w:numId w:val="1"/>
        </w:numPr>
        <w:tabs>
          <w:tab w:val="center" w:pos="0"/>
        </w:tabs>
        <w:autoSpaceDE w:val="0"/>
        <w:autoSpaceDN w:val="0"/>
        <w:adjustRightInd w:val="0"/>
        <w:ind w:left="0" w:right="43"/>
        <w:contextualSpacing/>
        <w:jc w:val="both"/>
        <w:outlineLvl w:val="0"/>
        <w:rPr>
          <w:rFonts w:ascii="Arial Narrow" w:hAnsi="Arial Narrow" w:cs="Arial"/>
          <w:color w:val="000000" w:themeColor="text1"/>
          <w:sz w:val="19"/>
          <w:szCs w:val="19"/>
        </w:rPr>
      </w:pPr>
      <w:r w:rsidRPr="000D5D36">
        <w:rPr>
          <w:rFonts w:ascii="Arial Narrow" w:eastAsia="Arial" w:hAnsi="Arial Narrow" w:cs="Arial"/>
          <w:bCs/>
          <w:color w:val="000000" w:themeColor="text1"/>
          <w:sz w:val="19"/>
          <w:szCs w:val="19"/>
        </w:rPr>
        <w:t>The</w:t>
      </w:r>
      <w:r w:rsidRPr="000D5D36">
        <w:rPr>
          <w:rFonts w:ascii="Arial Narrow" w:hAnsi="Arial Narrow" w:cs="Arial"/>
          <w:color w:val="000000" w:themeColor="text1"/>
          <w:sz w:val="19"/>
          <w:szCs w:val="19"/>
        </w:rPr>
        <w:t xml:space="preserve"> firms should have demonstrated experience in relevant sectors</w:t>
      </w:r>
      <w:r>
        <w:rPr>
          <w:rFonts w:ascii="Arial Narrow" w:eastAsiaTheme="minorEastAsia" w:hAnsi="Arial Narrow" w:cs="Arial" w:hint="eastAsia"/>
          <w:color w:val="000000" w:themeColor="text1"/>
          <w:sz w:val="19"/>
          <w:szCs w:val="19"/>
          <w:lang w:eastAsia="ko-KR"/>
        </w:rPr>
        <w:t xml:space="preserve"> (urban and public transport planning/design, road and traffic engineering, ITS planning and management, </w:t>
      </w:r>
      <w:proofErr w:type="spellStart"/>
      <w:r>
        <w:rPr>
          <w:rFonts w:ascii="Arial Narrow" w:eastAsiaTheme="minorEastAsia" w:hAnsi="Arial Narrow" w:cs="Arial" w:hint="eastAsia"/>
          <w:color w:val="000000" w:themeColor="text1"/>
          <w:sz w:val="19"/>
          <w:szCs w:val="19"/>
          <w:lang w:eastAsia="ko-KR"/>
        </w:rPr>
        <w:t>etc</w:t>
      </w:r>
      <w:proofErr w:type="spellEnd"/>
      <w:r>
        <w:rPr>
          <w:rFonts w:ascii="Arial Narrow" w:eastAsiaTheme="minorEastAsia" w:hAnsi="Arial Narrow" w:cs="Arial" w:hint="eastAsia"/>
          <w:color w:val="000000" w:themeColor="text1"/>
          <w:sz w:val="19"/>
          <w:szCs w:val="19"/>
          <w:lang w:eastAsia="ko-KR"/>
        </w:rPr>
        <w:t>)</w:t>
      </w:r>
      <w:r w:rsidRPr="000D5D36">
        <w:rPr>
          <w:rFonts w:ascii="Arial Narrow" w:hAnsi="Arial Narrow" w:cs="Arial"/>
          <w:color w:val="000000" w:themeColor="text1"/>
          <w:sz w:val="19"/>
          <w:szCs w:val="19"/>
        </w:rPr>
        <w:t xml:space="preserve"> and scope of work involved. The firm(s) should include following information and documents indicated in ADB’s standard expression of interest (EOI) template in ADB (CMS). The firm will be evaluated broadly on the below mentioned criteria:</w:t>
      </w:r>
    </w:p>
    <w:p w:rsidR="003D29A9" w:rsidRPr="000D5D36" w:rsidRDefault="003D29A9" w:rsidP="003D29A9">
      <w:pPr>
        <w:pStyle w:val="List"/>
        <w:numPr>
          <w:ilvl w:val="0"/>
          <w:numId w:val="2"/>
        </w:numPr>
        <w:rPr>
          <w:rFonts w:ascii="Arial Narrow" w:hAnsi="Arial Narrow"/>
          <w:b/>
          <w:bCs/>
          <w:color w:val="000000" w:themeColor="text1"/>
          <w:sz w:val="19"/>
          <w:szCs w:val="19"/>
        </w:rPr>
      </w:pPr>
      <w:r w:rsidRPr="000D5D36">
        <w:rPr>
          <w:rFonts w:ascii="Arial Narrow" w:hAnsi="Arial Narrow"/>
          <w:b/>
          <w:bCs/>
          <w:color w:val="000000" w:themeColor="text1"/>
          <w:sz w:val="19"/>
          <w:szCs w:val="19"/>
        </w:rPr>
        <w:t>Technical Competence:</w:t>
      </w:r>
      <w:r w:rsidRPr="000D5D36">
        <w:rPr>
          <w:rFonts w:ascii="Arial Narrow" w:hAnsi="Arial Narrow"/>
          <w:b/>
          <w:bCs/>
          <w:color w:val="000000" w:themeColor="text1"/>
          <w:sz w:val="19"/>
          <w:szCs w:val="19"/>
        </w:rPr>
        <w:tab/>
      </w:r>
      <w:r w:rsidRPr="000D5D36">
        <w:rPr>
          <w:rFonts w:ascii="Arial Narrow" w:hAnsi="Arial Narrow"/>
          <w:b/>
          <w:bCs/>
          <w:color w:val="000000" w:themeColor="text1"/>
          <w:sz w:val="19"/>
          <w:szCs w:val="19"/>
        </w:rPr>
        <w:tab/>
      </w:r>
      <w:r>
        <w:rPr>
          <w:rFonts w:ascii="Arial Narrow" w:hAnsi="Arial Narrow"/>
          <w:b/>
          <w:bCs/>
          <w:color w:val="000000" w:themeColor="text1"/>
          <w:sz w:val="19"/>
          <w:szCs w:val="19"/>
        </w:rPr>
        <w:tab/>
      </w:r>
      <w:r>
        <w:rPr>
          <w:rFonts w:ascii="Arial Narrow" w:hAnsi="Arial Narrow"/>
          <w:b/>
          <w:bCs/>
          <w:color w:val="000000" w:themeColor="text1"/>
          <w:sz w:val="19"/>
          <w:szCs w:val="19"/>
        </w:rPr>
        <w:tab/>
      </w:r>
      <w:r w:rsidRPr="000D5D36">
        <w:rPr>
          <w:rFonts w:ascii="Arial Narrow" w:hAnsi="Arial Narrow"/>
          <w:b/>
          <w:bCs/>
          <w:color w:val="000000" w:themeColor="text1"/>
          <w:sz w:val="19"/>
          <w:szCs w:val="19"/>
        </w:rPr>
        <w:t>60%</w:t>
      </w:r>
    </w:p>
    <w:p w:rsidR="003D29A9" w:rsidRPr="000D5D36" w:rsidRDefault="003D29A9" w:rsidP="003D29A9">
      <w:pPr>
        <w:pStyle w:val="List"/>
        <w:numPr>
          <w:ilvl w:val="0"/>
          <w:numId w:val="2"/>
        </w:numPr>
        <w:rPr>
          <w:rFonts w:ascii="Arial Narrow" w:hAnsi="Arial Narrow"/>
          <w:b/>
          <w:bCs/>
          <w:color w:val="000000" w:themeColor="text1"/>
          <w:sz w:val="19"/>
          <w:szCs w:val="19"/>
        </w:rPr>
      </w:pPr>
      <w:r w:rsidRPr="000D5D36">
        <w:rPr>
          <w:rFonts w:ascii="Arial Narrow" w:hAnsi="Arial Narrow"/>
          <w:b/>
          <w:bCs/>
          <w:color w:val="000000" w:themeColor="text1"/>
          <w:sz w:val="19"/>
          <w:szCs w:val="19"/>
        </w:rPr>
        <w:t>Management Competence:</w:t>
      </w:r>
      <w:r w:rsidRPr="000D5D36">
        <w:rPr>
          <w:rFonts w:ascii="Arial Narrow" w:hAnsi="Arial Narrow"/>
          <w:b/>
          <w:bCs/>
          <w:color w:val="000000" w:themeColor="text1"/>
          <w:sz w:val="19"/>
          <w:szCs w:val="19"/>
        </w:rPr>
        <w:tab/>
      </w:r>
      <w:r>
        <w:rPr>
          <w:rFonts w:ascii="Arial Narrow" w:hAnsi="Arial Narrow"/>
          <w:b/>
          <w:bCs/>
          <w:color w:val="000000" w:themeColor="text1"/>
          <w:sz w:val="19"/>
          <w:szCs w:val="19"/>
        </w:rPr>
        <w:tab/>
      </w:r>
      <w:r>
        <w:rPr>
          <w:rFonts w:ascii="Arial Narrow" w:hAnsi="Arial Narrow"/>
          <w:b/>
          <w:bCs/>
          <w:color w:val="000000" w:themeColor="text1"/>
          <w:sz w:val="19"/>
          <w:szCs w:val="19"/>
        </w:rPr>
        <w:tab/>
      </w:r>
      <w:r w:rsidRPr="000D5D36">
        <w:rPr>
          <w:rFonts w:ascii="Arial Narrow" w:hAnsi="Arial Narrow"/>
          <w:b/>
          <w:bCs/>
          <w:color w:val="000000" w:themeColor="text1"/>
          <w:sz w:val="19"/>
          <w:szCs w:val="19"/>
        </w:rPr>
        <w:t>20%</w:t>
      </w:r>
    </w:p>
    <w:p w:rsidR="003D29A9" w:rsidRPr="000D5D36" w:rsidRDefault="003D29A9" w:rsidP="003D29A9">
      <w:pPr>
        <w:pStyle w:val="List"/>
        <w:numPr>
          <w:ilvl w:val="0"/>
          <w:numId w:val="2"/>
        </w:numPr>
        <w:rPr>
          <w:rFonts w:ascii="Arial Narrow" w:hAnsi="Arial Narrow"/>
          <w:color w:val="000000" w:themeColor="text1"/>
          <w:sz w:val="19"/>
          <w:szCs w:val="19"/>
        </w:rPr>
      </w:pPr>
      <w:r w:rsidRPr="000D5D36">
        <w:rPr>
          <w:rFonts w:ascii="Arial Narrow" w:hAnsi="Arial Narrow"/>
          <w:b/>
          <w:bCs/>
          <w:color w:val="000000" w:themeColor="text1"/>
          <w:sz w:val="19"/>
          <w:szCs w:val="19"/>
        </w:rPr>
        <w:t>Geographic Experience</w:t>
      </w:r>
      <w:r>
        <w:rPr>
          <w:rFonts w:ascii="Arial Narrow" w:eastAsiaTheme="minorEastAsia" w:hAnsi="Arial Narrow" w:hint="eastAsia"/>
          <w:b/>
          <w:bCs/>
          <w:color w:val="000000" w:themeColor="text1"/>
          <w:sz w:val="19"/>
          <w:szCs w:val="19"/>
          <w:lang w:eastAsia="ko-KR"/>
        </w:rPr>
        <w:t xml:space="preserve"> </w:t>
      </w:r>
      <w:r>
        <w:rPr>
          <w:rFonts w:ascii="Arial Narrow" w:hAnsi="Arial Narrow"/>
          <w:b/>
          <w:bCs/>
          <w:color w:val="000000" w:themeColor="text1"/>
          <w:sz w:val="19"/>
          <w:szCs w:val="19"/>
        </w:rPr>
        <w:t>(Country/ Regional)</w:t>
      </w:r>
      <w:r w:rsidRPr="000D5D36">
        <w:rPr>
          <w:rFonts w:ascii="Arial Narrow" w:hAnsi="Arial Narrow"/>
          <w:b/>
          <w:bCs/>
          <w:color w:val="000000" w:themeColor="text1"/>
          <w:sz w:val="19"/>
          <w:szCs w:val="19"/>
        </w:rPr>
        <w:t>:</w:t>
      </w:r>
      <w:r>
        <w:rPr>
          <w:rFonts w:ascii="Arial Narrow" w:hAnsi="Arial Narrow"/>
          <w:b/>
          <w:bCs/>
          <w:color w:val="000000" w:themeColor="text1"/>
          <w:sz w:val="19"/>
          <w:szCs w:val="19"/>
        </w:rPr>
        <w:t xml:space="preserve"> </w:t>
      </w:r>
      <w:r w:rsidRPr="000D5D36">
        <w:rPr>
          <w:rFonts w:ascii="Arial Narrow" w:hAnsi="Arial Narrow"/>
          <w:b/>
          <w:bCs/>
          <w:color w:val="000000" w:themeColor="text1"/>
          <w:sz w:val="19"/>
          <w:szCs w:val="19"/>
        </w:rPr>
        <w:tab/>
        <w:t>20%</w:t>
      </w:r>
    </w:p>
    <w:p w:rsidR="003D29A9" w:rsidRPr="00B6247B" w:rsidRDefault="003D29A9" w:rsidP="003D29A9">
      <w:pPr>
        <w:pStyle w:val="List"/>
        <w:ind w:left="1440" w:firstLine="0"/>
        <w:rPr>
          <w:rFonts w:ascii="Arial Narrow" w:eastAsiaTheme="minorEastAsia" w:hAnsi="Arial Narrow"/>
          <w:color w:val="000000" w:themeColor="text1"/>
          <w:sz w:val="17"/>
          <w:szCs w:val="17"/>
          <w:lang w:eastAsia="ko-KR"/>
        </w:rPr>
      </w:pPr>
      <w:r w:rsidRPr="00B6247B">
        <w:rPr>
          <w:rFonts w:ascii="Arial Narrow" w:eastAsiaTheme="minorEastAsia" w:hAnsi="Arial Narrow" w:hint="eastAsia"/>
          <w:i/>
          <w:iCs/>
          <w:color w:val="000000" w:themeColor="text1"/>
          <w:sz w:val="17"/>
          <w:szCs w:val="17"/>
          <w:lang w:eastAsia="ko-KR"/>
        </w:rPr>
        <w:t xml:space="preserve">Note: Countries/Regions </w:t>
      </w:r>
      <w:r w:rsidRPr="00B6247B">
        <w:rPr>
          <w:rFonts w:ascii="Arial Narrow" w:eastAsiaTheme="minorEastAsia" w:hAnsi="Arial Narrow"/>
          <w:i/>
          <w:iCs/>
          <w:color w:val="000000" w:themeColor="text1"/>
          <w:sz w:val="17"/>
          <w:szCs w:val="17"/>
          <w:lang w:eastAsia="ko-KR"/>
        </w:rPr>
        <w:t>considered</w:t>
      </w:r>
      <w:r w:rsidRPr="00B6247B">
        <w:rPr>
          <w:rFonts w:ascii="Arial Narrow" w:eastAsiaTheme="minorEastAsia" w:hAnsi="Arial Narrow" w:hint="eastAsia"/>
          <w:i/>
          <w:iCs/>
          <w:color w:val="000000" w:themeColor="text1"/>
          <w:sz w:val="17"/>
          <w:szCs w:val="17"/>
          <w:lang w:eastAsia="ko-KR"/>
        </w:rPr>
        <w:t xml:space="preserve"> relevant: Pakistan, India, Bangladesh, member countries of Central Asia Regional</w:t>
      </w:r>
      <w:r w:rsidRPr="00B6247B">
        <w:rPr>
          <w:rFonts w:ascii="Arial Narrow" w:eastAsiaTheme="minorEastAsia" w:hAnsi="Arial Narrow" w:hint="eastAsia"/>
          <w:color w:val="000000" w:themeColor="text1"/>
          <w:sz w:val="17"/>
          <w:szCs w:val="17"/>
          <w:lang w:eastAsia="ko-KR"/>
        </w:rPr>
        <w:t xml:space="preserve"> </w:t>
      </w:r>
      <w:r w:rsidRPr="00B6247B">
        <w:rPr>
          <w:rFonts w:ascii="Arial Narrow" w:eastAsiaTheme="minorEastAsia" w:hAnsi="Arial Narrow" w:hint="eastAsia"/>
          <w:i/>
          <w:iCs/>
          <w:color w:val="000000" w:themeColor="text1"/>
          <w:sz w:val="17"/>
          <w:szCs w:val="17"/>
          <w:lang w:eastAsia="ko-KR"/>
        </w:rPr>
        <w:t xml:space="preserve">Economic Cooperation Program (CAREC), and other BRT reference countries in </w:t>
      </w:r>
      <w:bookmarkStart w:id="2" w:name="_GoBack"/>
      <w:bookmarkEnd w:id="2"/>
      <w:r w:rsidRPr="00B6247B">
        <w:rPr>
          <w:rFonts w:ascii="Arial Narrow" w:eastAsiaTheme="minorEastAsia" w:hAnsi="Arial Narrow" w:hint="eastAsia"/>
          <w:i/>
          <w:iCs/>
          <w:color w:val="000000" w:themeColor="text1"/>
          <w:sz w:val="17"/>
          <w:szCs w:val="17"/>
          <w:lang w:eastAsia="ko-KR"/>
        </w:rPr>
        <w:t>South Asia including Malaysia and Indonesia</w:t>
      </w:r>
    </w:p>
    <w:p w:rsidR="003D29A9" w:rsidRPr="003D3513" w:rsidRDefault="003D29A9" w:rsidP="003D29A9">
      <w:pPr>
        <w:keepNext/>
        <w:widowControl w:val="0"/>
        <w:numPr>
          <w:ilvl w:val="0"/>
          <w:numId w:val="1"/>
        </w:numPr>
        <w:tabs>
          <w:tab w:val="center" w:pos="0"/>
        </w:tabs>
        <w:autoSpaceDE w:val="0"/>
        <w:autoSpaceDN w:val="0"/>
        <w:adjustRightInd w:val="0"/>
        <w:ind w:left="0" w:right="43"/>
        <w:contextualSpacing/>
        <w:jc w:val="both"/>
        <w:outlineLvl w:val="0"/>
        <w:rPr>
          <w:rFonts w:ascii="Arial Narrow" w:hAnsi="Arial Narrow" w:cs="Arial"/>
          <w:color w:val="000000" w:themeColor="text1"/>
          <w:sz w:val="19"/>
          <w:szCs w:val="19"/>
        </w:rPr>
      </w:pPr>
      <w:r w:rsidRPr="000D5D36">
        <w:rPr>
          <w:rFonts w:ascii="Arial Narrow" w:hAnsi="Arial Narrow" w:cs="Arial"/>
          <w:iCs/>
          <w:color w:val="000000" w:themeColor="text1"/>
          <w:sz w:val="19"/>
          <w:szCs w:val="19"/>
        </w:rPr>
        <w:t>The EOI must be submitted online via the ADB’s Consultant Management System (CMS). The EOI must be submitted using the online template in CMS not later than</w:t>
      </w:r>
      <w:r>
        <w:rPr>
          <w:rFonts w:ascii="Arial Narrow" w:eastAsiaTheme="minorEastAsia" w:hAnsi="Arial Narrow" w:cs="Arial" w:hint="eastAsia"/>
          <w:iCs/>
          <w:color w:val="000000" w:themeColor="text1"/>
          <w:sz w:val="19"/>
          <w:szCs w:val="19"/>
          <w:lang w:eastAsia="ko-KR"/>
        </w:rPr>
        <w:t xml:space="preserve"> 11:59 PM (Philippine time, UTC+8) on</w:t>
      </w:r>
      <w:r w:rsidRPr="000D5D36">
        <w:rPr>
          <w:rFonts w:ascii="Arial Narrow" w:hAnsi="Arial Narrow" w:cs="Arial"/>
          <w:iCs/>
          <w:color w:val="000000" w:themeColor="text1"/>
          <w:sz w:val="19"/>
          <w:szCs w:val="19"/>
        </w:rPr>
        <w:t xml:space="preserve"> </w:t>
      </w:r>
      <w:r w:rsidR="00805C23" w:rsidRPr="00805C23">
        <w:rPr>
          <w:rFonts w:ascii="Arial Narrow" w:hAnsi="Arial Narrow" w:cs="Arial"/>
          <w:b/>
          <w:iCs/>
          <w:color w:val="000000" w:themeColor="text1"/>
          <w:sz w:val="19"/>
          <w:szCs w:val="19"/>
          <w:u w:val="single"/>
        </w:rPr>
        <w:t>8</w:t>
      </w:r>
      <w:r w:rsidRPr="00805C23">
        <w:rPr>
          <w:rFonts w:ascii="Arial Narrow" w:hAnsi="Arial Narrow" w:cs="Arial"/>
          <w:b/>
          <w:iCs/>
          <w:sz w:val="19"/>
          <w:szCs w:val="19"/>
          <w:u w:val="single"/>
          <w:vertAlign w:val="superscript"/>
        </w:rPr>
        <w:t>th</w:t>
      </w:r>
      <w:r w:rsidRPr="00442797">
        <w:rPr>
          <w:rFonts w:ascii="Arial Narrow" w:hAnsi="Arial Narrow" w:cs="Arial"/>
          <w:b/>
          <w:iCs/>
          <w:sz w:val="19"/>
          <w:szCs w:val="19"/>
          <w:u w:val="single"/>
        </w:rPr>
        <w:t xml:space="preserve"> January 2026</w:t>
      </w:r>
      <w:r w:rsidRPr="000D5D36">
        <w:rPr>
          <w:rFonts w:ascii="Arial Narrow" w:hAnsi="Arial Narrow" w:cs="Arial"/>
          <w:iCs/>
          <w:color w:val="000000" w:themeColor="text1"/>
          <w:sz w:val="19"/>
          <w:szCs w:val="19"/>
        </w:rPr>
        <w:t xml:space="preserve">. Access to the online Request for Expression of Interest may be reached through the link to Consultant Services Recruitment Notices (CSRN) available at </w:t>
      </w:r>
      <w:hyperlink r:id="rId6" w:history="1">
        <w:r w:rsidRPr="000D5D36">
          <w:rPr>
            <w:rStyle w:val="Hyperlink"/>
            <w:rFonts w:ascii="Arial Narrow" w:hAnsi="Arial Narrow" w:cs="Arial"/>
            <w:iCs/>
            <w:sz w:val="19"/>
            <w:szCs w:val="19"/>
          </w:rPr>
          <w:t>https://www.adb.org/business/operational-procurement/consulting</w:t>
        </w:r>
      </w:hyperlink>
      <w:r w:rsidRPr="000D5D36">
        <w:rPr>
          <w:rFonts w:ascii="Arial Narrow" w:hAnsi="Arial Narrow" w:cs="Arial"/>
          <w:iCs/>
          <w:color w:val="000000" w:themeColor="text1"/>
          <w:sz w:val="19"/>
          <w:szCs w:val="19"/>
        </w:rPr>
        <w:t xml:space="preserve">. A firm wishing to submit an EOI must be registered with the CMS. CMS registration is accessible at </w:t>
      </w:r>
      <w:hyperlink r:id="rId7" w:tgtFrame="_blank" w:history="1">
        <w:r w:rsidRPr="000D5D36">
          <w:rPr>
            <w:rStyle w:val="Hyperlink"/>
            <w:rFonts w:ascii="Arial Narrow" w:hAnsi="Arial Narrow" w:cs="Arial"/>
            <w:iCs/>
            <w:color w:val="000000" w:themeColor="text1"/>
            <w:sz w:val="19"/>
            <w:szCs w:val="19"/>
          </w:rPr>
          <w:t>http://cms.adb.org</w:t>
        </w:r>
      </w:hyperlink>
      <w:r w:rsidRPr="000D5D36">
        <w:rPr>
          <w:rFonts w:ascii="Arial Narrow" w:hAnsi="Arial Narrow" w:cs="Arial"/>
          <w:iCs/>
          <w:color w:val="000000" w:themeColor="text1"/>
          <w:sz w:val="19"/>
          <w:szCs w:val="19"/>
        </w:rPr>
        <w:t xml:space="preserve">. Any proposed associate firms, sub consultants, or joint venture partners must also be registered with CMS. Any firm encountering technical problems in accessing CMS should request assistance by email to </w:t>
      </w:r>
      <w:hyperlink r:id="rId8" w:tgtFrame="_blank" w:history="1">
        <w:r w:rsidRPr="000D5D36">
          <w:rPr>
            <w:rStyle w:val="Hyperlink"/>
            <w:rFonts w:ascii="Arial Narrow" w:hAnsi="Arial Narrow" w:cs="Arial"/>
            <w:iCs/>
            <w:color w:val="000000" w:themeColor="text1"/>
            <w:sz w:val="19"/>
            <w:szCs w:val="19"/>
          </w:rPr>
          <w:t>cmshelp@adb.org</w:t>
        </w:r>
      </w:hyperlink>
      <w:r w:rsidRPr="000D5D36">
        <w:rPr>
          <w:rFonts w:ascii="Arial Narrow" w:hAnsi="Arial Narrow" w:cs="Arial"/>
          <w:iCs/>
          <w:color w:val="000000" w:themeColor="text1"/>
          <w:sz w:val="19"/>
          <w:szCs w:val="19"/>
        </w:rPr>
        <w:t>. Firms are recommended to update their CMS registration before commencing their EOI.</w:t>
      </w:r>
    </w:p>
    <w:p w:rsidR="003D29A9" w:rsidRDefault="003D29A9" w:rsidP="003D29A9">
      <w:pPr>
        <w:ind w:left="-85" w:right="-102"/>
        <w:jc w:val="center"/>
        <w:rPr>
          <w:rFonts w:ascii="Arial Narrow" w:hAnsi="Arial Narrow" w:cs="Arial"/>
          <w:b/>
          <w:iCs/>
          <w:sz w:val="19"/>
          <w:szCs w:val="19"/>
        </w:rPr>
      </w:pPr>
    </w:p>
    <w:p w:rsidR="003D29A9" w:rsidRPr="000D5D36" w:rsidRDefault="003D29A9" w:rsidP="003D29A9">
      <w:pPr>
        <w:ind w:left="-85" w:right="-102"/>
        <w:jc w:val="center"/>
        <w:rPr>
          <w:rFonts w:ascii="Arial Narrow" w:hAnsi="Arial Narrow" w:cs="Arial"/>
          <w:iCs/>
          <w:sz w:val="19"/>
          <w:szCs w:val="19"/>
        </w:rPr>
      </w:pPr>
      <w:r w:rsidRPr="000D5D36">
        <w:rPr>
          <w:rFonts w:ascii="Arial Narrow" w:hAnsi="Arial Narrow" w:cs="Arial"/>
          <w:b/>
          <w:iCs/>
          <w:sz w:val="19"/>
          <w:szCs w:val="19"/>
        </w:rPr>
        <w:t>Director</w:t>
      </w:r>
    </w:p>
    <w:p w:rsidR="003D29A9" w:rsidRDefault="003D29A9" w:rsidP="003D29A9">
      <w:pPr>
        <w:ind w:left="-85" w:right="-102"/>
        <w:jc w:val="center"/>
        <w:rPr>
          <w:rFonts w:ascii="Arial Narrow" w:hAnsi="Arial Narrow" w:cs="Arial"/>
          <w:iCs/>
          <w:sz w:val="19"/>
          <w:szCs w:val="19"/>
        </w:rPr>
      </w:pPr>
      <w:r w:rsidRPr="000D5D36">
        <w:rPr>
          <w:rFonts w:ascii="Arial Narrow" w:hAnsi="Arial Narrow" w:cs="Arial"/>
          <w:iCs/>
          <w:sz w:val="19"/>
          <w:szCs w:val="19"/>
        </w:rPr>
        <w:t xml:space="preserve">Balochistan Traffic Engineering Bureau </w:t>
      </w:r>
    </w:p>
    <w:p w:rsidR="003D29A9" w:rsidRPr="000D5D36" w:rsidRDefault="003D29A9" w:rsidP="003D29A9">
      <w:pPr>
        <w:ind w:left="-85" w:right="-102"/>
        <w:jc w:val="center"/>
        <w:rPr>
          <w:rFonts w:ascii="Arial Narrow" w:hAnsi="Arial Narrow" w:cs="Arial"/>
          <w:iCs/>
          <w:sz w:val="19"/>
          <w:szCs w:val="19"/>
        </w:rPr>
      </w:pPr>
      <w:r>
        <w:rPr>
          <w:rFonts w:ascii="Arial Narrow" w:hAnsi="Arial Narrow" w:cs="Arial"/>
          <w:iCs/>
          <w:sz w:val="19"/>
          <w:szCs w:val="19"/>
        </w:rPr>
        <w:t>Transport Department</w:t>
      </w:r>
    </w:p>
    <w:p w:rsidR="003D29A9" w:rsidRPr="000D5D36" w:rsidRDefault="003D29A9" w:rsidP="003D29A9">
      <w:pPr>
        <w:ind w:left="-85" w:right="-102"/>
        <w:jc w:val="center"/>
        <w:rPr>
          <w:rFonts w:ascii="Arial Narrow" w:hAnsi="Arial Narrow" w:cs="Arial"/>
          <w:iCs/>
          <w:sz w:val="19"/>
          <w:szCs w:val="19"/>
        </w:rPr>
      </w:pPr>
      <w:r w:rsidRPr="000D5D36">
        <w:rPr>
          <w:rFonts w:ascii="Arial Narrow" w:hAnsi="Arial Narrow" w:cs="Arial"/>
          <w:iCs/>
          <w:sz w:val="19"/>
          <w:szCs w:val="19"/>
        </w:rPr>
        <w:t>Government of Balochistan</w:t>
      </w:r>
    </w:p>
    <w:p w:rsidR="003D29A9" w:rsidRPr="000D5D36" w:rsidRDefault="003D29A9" w:rsidP="003D29A9">
      <w:pPr>
        <w:ind w:left="-85" w:right="-102"/>
        <w:jc w:val="center"/>
        <w:rPr>
          <w:rFonts w:ascii="Arial Narrow" w:hAnsi="Arial Narrow" w:cs="Arial"/>
          <w:iCs/>
          <w:sz w:val="19"/>
          <w:szCs w:val="19"/>
        </w:rPr>
      </w:pPr>
      <w:r w:rsidRPr="000D5D36">
        <w:rPr>
          <w:rFonts w:ascii="Arial Narrow" w:hAnsi="Arial Narrow" w:cs="Arial"/>
          <w:iCs/>
          <w:sz w:val="19"/>
          <w:szCs w:val="19"/>
        </w:rPr>
        <w:t xml:space="preserve">Address: BTEB Office First Floor Honda </w:t>
      </w:r>
      <w:proofErr w:type="spellStart"/>
      <w:r w:rsidRPr="000D5D36">
        <w:rPr>
          <w:rFonts w:ascii="Arial Narrow" w:hAnsi="Arial Narrow" w:cs="Arial"/>
          <w:iCs/>
          <w:sz w:val="19"/>
          <w:szCs w:val="19"/>
        </w:rPr>
        <w:t>Carwan</w:t>
      </w:r>
      <w:proofErr w:type="spellEnd"/>
      <w:r w:rsidRPr="000D5D36">
        <w:rPr>
          <w:rFonts w:ascii="Arial Narrow" w:hAnsi="Arial Narrow" w:cs="Arial"/>
          <w:iCs/>
          <w:sz w:val="19"/>
          <w:szCs w:val="19"/>
        </w:rPr>
        <w:t xml:space="preserve"> Motors Airport Road, Quetta, Pakistan</w:t>
      </w:r>
    </w:p>
    <w:p w:rsidR="001A26B9" w:rsidRDefault="001A26B9"/>
    <w:sectPr w:rsidR="001A26B9" w:rsidSect="003D29A9">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94957"/>
    <w:multiLevelType w:val="hybridMultilevel"/>
    <w:tmpl w:val="C20CC10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38452DE"/>
    <w:multiLevelType w:val="hybridMultilevel"/>
    <w:tmpl w:val="8892F3A6"/>
    <w:lvl w:ilvl="0" w:tplc="DAA8E3EC">
      <w:start w:val="1"/>
      <w:numFmt w:val="decimal"/>
      <w:lvlText w:val="%1."/>
      <w:lvlJc w:val="left"/>
      <w:pPr>
        <w:ind w:left="2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DBE8D3BE">
      <w:start w:val="1"/>
      <w:numFmt w:val="lowerLetter"/>
      <w:lvlText w:val="%2"/>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22E9CE">
      <w:start w:val="1"/>
      <w:numFmt w:val="lowerRoman"/>
      <w:lvlText w:val="%3"/>
      <w:lvlJc w:val="left"/>
      <w:pPr>
        <w:ind w:left="1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B8003E">
      <w:start w:val="1"/>
      <w:numFmt w:val="decimal"/>
      <w:lvlText w:val="%4"/>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CA5228">
      <w:start w:val="1"/>
      <w:numFmt w:val="lowerLetter"/>
      <w:lvlText w:val="%5"/>
      <w:lvlJc w:val="left"/>
      <w:pPr>
        <w:ind w:left="3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EC66F8">
      <w:start w:val="1"/>
      <w:numFmt w:val="lowerRoman"/>
      <w:lvlText w:val="%6"/>
      <w:lvlJc w:val="left"/>
      <w:pPr>
        <w:ind w:left="3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6680A4">
      <w:start w:val="1"/>
      <w:numFmt w:val="decimal"/>
      <w:lvlText w:val="%7"/>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C0D6DC">
      <w:start w:val="1"/>
      <w:numFmt w:val="lowerLetter"/>
      <w:lvlText w:val="%8"/>
      <w:lvlJc w:val="left"/>
      <w:pPr>
        <w:ind w:left="5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2E4EFC">
      <w:start w:val="1"/>
      <w:numFmt w:val="lowerRoman"/>
      <w:lvlText w:val="%9"/>
      <w:lvlJc w:val="left"/>
      <w:pPr>
        <w:ind w:left="6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9A9"/>
    <w:rsid w:val="001A26B9"/>
    <w:rsid w:val="003D29A9"/>
    <w:rsid w:val="00805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B82CE"/>
  <w15:chartTrackingRefBased/>
  <w15:docId w15:val="{B169B20E-AE17-4724-B5EB-D8C2105B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9A9"/>
    <w:pPr>
      <w:spacing w:after="0" w:line="240" w:lineRule="auto"/>
    </w:pPr>
    <w:rPr>
      <w:rFonts w:ascii="Arial" w:eastAsia="Times New Roman" w:hAnsi="Arial" w:cs="Times New Roman"/>
      <w:szCs w:val="20"/>
    </w:rPr>
  </w:style>
  <w:style w:type="paragraph" w:styleId="Heading4">
    <w:name w:val="heading 4"/>
    <w:basedOn w:val="Normal"/>
    <w:next w:val="Normal"/>
    <w:link w:val="Heading4Char"/>
    <w:qFormat/>
    <w:rsid w:val="003D29A9"/>
    <w:pPr>
      <w:keepNext/>
      <w:outlineLvl w:val="3"/>
    </w:pPr>
    <w:rPr>
      <w:rFonts w:ascii="Bookman Old Style" w:hAnsi="Bookman Old Style"/>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D29A9"/>
    <w:rPr>
      <w:rFonts w:ascii="Bookman Old Style" w:eastAsia="Times New Roman" w:hAnsi="Bookman Old Style" w:cs="Times New Roman"/>
      <w:b/>
      <w:sz w:val="32"/>
      <w:szCs w:val="20"/>
    </w:rPr>
  </w:style>
  <w:style w:type="character" w:styleId="Hyperlink">
    <w:name w:val="Hyperlink"/>
    <w:basedOn w:val="DefaultParagraphFont"/>
    <w:rsid w:val="003D29A9"/>
    <w:rPr>
      <w:color w:val="0000FF"/>
      <w:u w:val="single"/>
    </w:rPr>
  </w:style>
  <w:style w:type="paragraph" w:styleId="List">
    <w:name w:val="List"/>
    <w:basedOn w:val="Normal"/>
    <w:rsid w:val="003D29A9"/>
    <w:pPr>
      <w:ind w:left="360" w:hanging="360"/>
    </w:pPr>
    <w:rPr>
      <w:rFonts w:eastAsia="MS Mincho" w:cs="Arial"/>
      <w:szCs w:val="22"/>
    </w:rPr>
  </w:style>
  <w:style w:type="paragraph" w:styleId="BalloonText">
    <w:name w:val="Balloon Text"/>
    <w:basedOn w:val="Normal"/>
    <w:link w:val="BalloonTextChar"/>
    <w:uiPriority w:val="99"/>
    <w:semiHidden/>
    <w:unhideWhenUsed/>
    <w:rsid w:val="003D29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9A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shelp@adb.org" TargetMode="External"/><Relationship Id="rId3" Type="http://schemas.openxmlformats.org/officeDocument/2006/relationships/settings" Target="settings.xml"/><Relationship Id="rId7" Type="http://schemas.openxmlformats.org/officeDocument/2006/relationships/hyperlink" Target="http://cms.ad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db.org/business/operational-procurement/consulting" TargetMode="External"/><Relationship Id="rId5" Type="http://schemas.openxmlformats.org/officeDocument/2006/relationships/hyperlink" Target="http://www.cms.adb.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Moorche</dc:creator>
  <cp:keywords/>
  <dc:description/>
  <cp:lastModifiedBy>Moorche</cp:lastModifiedBy>
  <cp:revision>2</cp:revision>
  <cp:lastPrinted>2025-12-09T08:38:00Z</cp:lastPrinted>
  <dcterms:created xsi:type="dcterms:W3CDTF">2025-12-09T08:35:00Z</dcterms:created>
  <dcterms:modified xsi:type="dcterms:W3CDTF">2025-12-09T10:36:00Z</dcterms:modified>
</cp:coreProperties>
</file>